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667E" w14:textId="462E7035" w:rsidR="00896349" w:rsidRPr="0093357A" w:rsidRDefault="00950739" w:rsidP="00E04491">
      <w:pPr>
        <w:pStyle w:val="Title"/>
        <w:tabs>
          <w:tab w:val="clear" w:pos="360"/>
        </w:tabs>
        <w:ind w:left="-90"/>
        <w:jc w:val="left"/>
        <w:sectPr w:rsidR="00896349" w:rsidRPr="0093357A" w:rsidSect="00A91347">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r>
        <w:rPr>
          <w:bCs/>
          <w:color w:val="auto"/>
          <w:sz w:val="22"/>
          <w:szCs w:val="22"/>
        </w:rPr>
        <mc:AlternateContent>
          <mc:Choice Requires="wps">
            <w:drawing>
              <wp:anchor distT="0" distB="0" distL="114300" distR="114300" simplePos="0" relativeHeight="251665408" behindDoc="0" locked="0" layoutInCell="1" allowOverlap="1" wp14:anchorId="027A3507" wp14:editId="0A41CA55">
                <wp:simplePos x="0" y="0"/>
                <wp:positionH relativeFrom="column">
                  <wp:posOffset>-107004</wp:posOffset>
                </wp:positionH>
                <wp:positionV relativeFrom="paragraph">
                  <wp:posOffset>2101175</wp:posOffset>
                </wp:positionV>
                <wp:extent cx="5992238" cy="5204298"/>
                <wp:effectExtent l="0" t="0" r="0" b="0"/>
                <wp:wrapNone/>
                <wp:docPr id="1331931648" name="Text Box 3"/>
                <wp:cNvGraphicFramePr/>
                <a:graphic xmlns:a="http://schemas.openxmlformats.org/drawingml/2006/main">
                  <a:graphicData uri="http://schemas.microsoft.com/office/word/2010/wordprocessingShape">
                    <wps:wsp>
                      <wps:cNvSpPr txBox="1"/>
                      <wps:spPr>
                        <a:xfrm>
                          <a:off x="0" y="0"/>
                          <a:ext cx="5992238" cy="5204298"/>
                        </a:xfrm>
                        <a:prstGeom prst="rect">
                          <a:avLst/>
                        </a:prstGeom>
                        <a:noFill/>
                        <a:ln w="6350">
                          <a:noFill/>
                        </a:ln>
                      </wps:spPr>
                      <wps:txbx>
                        <w:txbxContent>
                          <w:p w14:paraId="099CFD63" w14:textId="77777777" w:rsidR="00BB667E" w:rsidRDefault="00BB667E" w:rsidP="00BB667E">
                            <w:pPr>
                              <w:rPr>
                                <w:rFonts w:ascii="Calibri" w:hAnsi="Calibri" w:cs="Calibri"/>
                              </w:rPr>
                            </w:pPr>
                            <w:r>
                              <w:t>Bankers refer to their institution’s problem loan policy for guidance on acceptable ways to handle different types of problem credits. For example, the policy often provides:</w:t>
                            </w:r>
                          </w:p>
                          <w:p w14:paraId="66B1792F" w14:textId="77777777" w:rsidR="00BB667E" w:rsidRDefault="00BB667E" w:rsidP="00BB667E">
                            <w:pPr>
                              <w:pStyle w:val="ListParagraph"/>
                              <w:numPr>
                                <w:ilvl w:val="0"/>
                                <w:numId w:val="23"/>
                              </w:numPr>
                              <w:tabs>
                                <w:tab w:val="clear" w:pos="360"/>
                              </w:tabs>
                              <w:spacing w:after="160" w:line="252" w:lineRule="auto"/>
                            </w:pPr>
                            <w:r>
                              <w:t>Answers to questions on accrual/non-accrual status and troubled debt modifications.</w:t>
                            </w:r>
                          </w:p>
                          <w:p w14:paraId="4182DF15" w14:textId="77777777" w:rsidR="00BB667E" w:rsidRDefault="00BB667E" w:rsidP="00BB667E">
                            <w:pPr>
                              <w:pStyle w:val="ListParagraph"/>
                              <w:numPr>
                                <w:ilvl w:val="0"/>
                                <w:numId w:val="23"/>
                              </w:numPr>
                              <w:tabs>
                                <w:tab w:val="clear" w:pos="360"/>
                              </w:tabs>
                              <w:spacing w:after="160" w:line="252" w:lineRule="auto"/>
                            </w:pPr>
                            <w:r>
                              <w:t>Requirements for quarterly watch meetings.</w:t>
                            </w:r>
                          </w:p>
                          <w:p w14:paraId="54B50EC1" w14:textId="77777777" w:rsidR="00BB667E" w:rsidRDefault="00BB667E" w:rsidP="00BB667E">
                            <w:pPr>
                              <w:pStyle w:val="ListParagraph"/>
                              <w:numPr>
                                <w:ilvl w:val="0"/>
                                <w:numId w:val="23"/>
                              </w:numPr>
                              <w:tabs>
                                <w:tab w:val="clear" w:pos="360"/>
                              </w:tabs>
                              <w:spacing w:after="160" w:line="252" w:lineRule="auto"/>
                            </w:pPr>
                            <w:r>
                              <w:t xml:space="preserve">Details on requirements for handling criticized and classified loans, Other Real Estate Owned (OREO), and foreclosures. </w:t>
                            </w:r>
                          </w:p>
                          <w:p w14:paraId="4103F20E" w14:textId="77777777" w:rsidR="00BB667E" w:rsidRDefault="00BB667E" w:rsidP="00BB667E">
                            <w:pPr>
                              <w:rPr>
                                <w:rFonts w:eastAsiaTheme="minorHAnsi"/>
                              </w:rPr>
                            </w:pPr>
                            <w:r>
                              <w:t>The policy is a go-to document for special assets/workout personnel, particularly as they are becoming accustomed to their position. Relationship managers and underwriters/credit analysts refer to it when borrowers and loans begin to deteriorate. </w:t>
                            </w:r>
                          </w:p>
                          <w:p w14:paraId="4F69EB29" w14:textId="77777777" w:rsidR="00BB667E" w:rsidRDefault="00BB667E" w:rsidP="00BB667E"/>
                          <w:p w14:paraId="2D6F6933" w14:textId="77777777" w:rsidR="00BB667E" w:rsidRDefault="00BB667E" w:rsidP="00BB667E">
                            <w:r>
                              <w:t xml:space="preserve">All associates are responsible for acting in accordance with the policies applicable to their role, and their leaders are responsible for ensuring this occurs. As for the </w:t>
                            </w:r>
                            <w:proofErr w:type="gramStart"/>
                            <w:r>
                              <w:t>organization as a whole, the</w:t>
                            </w:r>
                            <w:proofErr w:type="gramEnd"/>
                            <w:r>
                              <w:t xml:space="preserve"> bank is subject to audits—credit-related as well as financial—that will look for compliance with all policies and procedures. </w:t>
                            </w:r>
                          </w:p>
                          <w:p w14:paraId="2623932F" w14:textId="77777777" w:rsidR="00BB667E" w:rsidRDefault="00BB667E" w:rsidP="00BB667E"/>
                          <w:p w14:paraId="5E010F3B" w14:textId="79A7E336" w:rsidR="00950739" w:rsidRDefault="00BB667E" w:rsidP="00E04491">
                            <w:r>
                              <w:t xml:space="preserve">While banks typically have their own problem loan policies, reading one from another institution—such as this example—can help to identify market norms and determine if there are gaps in how the bank is mitigating risk.   </w:t>
                            </w:r>
                          </w:p>
                        </w:txbxContent>
                      </wps:txbx>
                      <wps:bodyPr rot="0" spcFirstLastPara="0" vertOverflow="overflow" horzOverflow="overflow" vert="horz" wrap="square" lIns="274320" tIns="274320" rIns="27432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3507" id="_x0000_t202" coordsize="21600,21600" o:spt="202" path="m,l,21600r21600,l21600,xe">
                <v:stroke joinstyle="miter"/>
                <v:path gradientshapeok="t" o:connecttype="rect"/>
              </v:shapetype>
              <v:shape id="Text Box 3" o:spid="_x0000_s1026" type="#_x0000_t202" style="position:absolute;left:0;text-align:left;margin-left:-8.45pt;margin-top:165.45pt;width:471.85pt;height:40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" filled="f" stroked="f" strokeweight=".5pt">
                <v:textbox inset="21.6pt,21.6pt,21.6pt,21.6pt">
                  <w:txbxContent>
                    <w:p w14:paraId="099CFD63" w14:textId="77777777" w:rsidR="00BB667E" w:rsidRDefault="00BB667E" w:rsidP="00BB667E">
                      <w:pPr>
                        <w:rPr>
                          <w:rFonts w:ascii="Calibri" w:hAnsi="Calibri" w:cs="Calibri"/>
                        </w:rPr>
                      </w:pPr>
                      <w:r>
                        <w:t>Bankers refer to their institution’s problem loan policy for guidance on acceptable ways to handle different types of problem credits. For example, the policy often provides:</w:t>
                      </w:r>
                    </w:p>
                    <w:p w14:paraId="66B1792F" w14:textId="77777777" w:rsidR="00BB667E" w:rsidRDefault="00BB667E" w:rsidP="00BB667E">
                      <w:pPr>
                        <w:pStyle w:val="ListParagraph"/>
                        <w:numPr>
                          <w:ilvl w:val="0"/>
                          <w:numId w:val="23"/>
                        </w:numPr>
                        <w:tabs>
                          <w:tab w:val="clear" w:pos="360"/>
                        </w:tabs>
                        <w:spacing w:after="160" w:line="252" w:lineRule="auto"/>
                      </w:pPr>
                      <w:r>
                        <w:t>Answers to questions on accrual/non-accrual status and troubled debt modifications.</w:t>
                      </w:r>
                    </w:p>
                    <w:p w14:paraId="4182DF15" w14:textId="77777777" w:rsidR="00BB667E" w:rsidRDefault="00BB667E" w:rsidP="00BB667E">
                      <w:pPr>
                        <w:pStyle w:val="ListParagraph"/>
                        <w:numPr>
                          <w:ilvl w:val="0"/>
                          <w:numId w:val="23"/>
                        </w:numPr>
                        <w:tabs>
                          <w:tab w:val="clear" w:pos="360"/>
                        </w:tabs>
                        <w:spacing w:after="160" w:line="252" w:lineRule="auto"/>
                      </w:pPr>
                      <w:r>
                        <w:t>Requirements for quarterly watch meetings.</w:t>
                      </w:r>
                    </w:p>
                    <w:p w14:paraId="54B50EC1" w14:textId="77777777" w:rsidR="00BB667E" w:rsidRDefault="00BB667E" w:rsidP="00BB667E">
                      <w:pPr>
                        <w:pStyle w:val="ListParagraph"/>
                        <w:numPr>
                          <w:ilvl w:val="0"/>
                          <w:numId w:val="23"/>
                        </w:numPr>
                        <w:tabs>
                          <w:tab w:val="clear" w:pos="360"/>
                        </w:tabs>
                        <w:spacing w:after="160" w:line="252" w:lineRule="auto"/>
                      </w:pPr>
                      <w:r>
                        <w:t xml:space="preserve">Details on requirements for handling criticized and classified loans, Other Real Estate Owned (OREO), and foreclosures. </w:t>
                      </w:r>
                    </w:p>
                    <w:p w14:paraId="4103F20E" w14:textId="77777777" w:rsidR="00BB667E" w:rsidRDefault="00BB667E" w:rsidP="00BB667E">
                      <w:pPr>
                        <w:rPr>
                          <w:rFonts w:eastAsiaTheme="minorHAnsi"/>
                        </w:rPr>
                      </w:pPr>
                      <w:r>
                        <w:t>The policy is a go-to document for special assets/workout personnel, particularly as they are becoming accustomed to their position. Relationship managers and underwriters/credit analysts refer to it when borrowers and loans begin to deteriorate. </w:t>
                      </w:r>
                    </w:p>
                    <w:p w14:paraId="4F69EB29" w14:textId="77777777" w:rsidR="00BB667E" w:rsidRDefault="00BB667E" w:rsidP="00BB667E"/>
                    <w:p w14:paraId="2D6F6933" w14:textId="77777777" w:rsidR="00BB667E" w:rsidRDefault="00BB667E" w:rsidP="00BB667E">
                      <w:r>
                        <w:t xml:space="preserve">All associates are responsible for acting in accordance with the policies applicable to their role, and their leaders are responsible for ensuring this occurs. As for the </w:t>
                      </w:r>
                      <w:proofErr w:type="gramStart"/>
                      <w:r>
                        <w:t>organization as a whole, the</w:t>
                      </w:r>
                      <w:proofErr w:type="gramEnd"/>
                      <w:r>
                        <w:t xml:space="preserve"> bank is subject to audits—credit-related as well as financial—that will look for compliance with all policies and procedures. </w:t>
                      </w:r>
                    </w:p>
                    <w:p w14:paraId="2623932F" w14:textId="77777777" w:rsidR="00BB667E" w:rsidRDefault="00BB667E" w:rsidP="00BB667E"/>
                    <w:p w14:paraId="5E010F3B" w14:textId="79A7E336" w:rsidR="00950739" w:rsidRDefault="00BB667E" w:rsidP="00E04491">
                      <w:r>
                        <w:t xml:space="preserve">While banks typically have their own problem loan policies, reading one from another institution—such as this example—can help to identify market norms and determine if there are gaps in how the bank is mitigating risk.   </w:t>
                      </w:r>
                    </w:p>
                  </w:txbxContent>
                </v:textbox>
              </v:shape>
            </w:pict>
          </mc:Fallback>
        </mc:AlternateContent>
      </w:r>
      <w:r w:rsidR="00D8335D" w:rsidRPr="00D60FD7">
        <w:rPr>
          <w:bCs/>
          <w:color w:val="auto"/>
          <w:sz w:val="22"/>
          <w:szCs w:val="22"/>
        </w:rPr>
        <mc:AlternateContent>
          <mc:Choice Requires="wps">
            <w:drawing>
              <wp:anchor distT="0" distB="0" distL="114300" distR="114300" simplePos="0" relativeHeight="251675648" behindDoc="0" locked="0" layoutInCell="1" allowOverlap="1" wp14:anchorId="243D5BAB" wp14:editId="572B7B8D">
                <wp:simplePos x="0" y="0"/>
                <wp:positionH relativeFrom="column">
                  <wp:posOffset>-107112</wp:posOffset>
                </wp:positionH>
                <wp:positionV relativeFrom="paragraph">
                  <wp:posOffset>1360805</wp:posOffset>
                </wp:positionV>
                <wp:extent cx="5846323" cy="525293"/>
                <wp:effectExtent l="0" t="0" r="0" b="0"/>
                <wp:wrapNone/>
                <wp:docPr id="906201580" name="Text Box 2"/>
                <wp:cNvGraphicFramePr/>
                <a:graphic xmlns:a="http://schemas.openxmlformats.org/drawingml/2006/main">
                  <a:graphicData uri="http://schemas.microsoft.com/office/word/2010/wordprocessingShape">
                    <wps:wsp>
                      <wps:cNvSpPr txBox="1"/>
                      <wps:spPr>
                        <a:xfrm>
                          <a:off x="0" y="0"/>
                          <a:ext cx="5846323" cy="525293"/>
                        </a:xfrm>
                        <a:prstGeom prst="rect">
                          <a:avLst/>
                        </a:prstGeom>
                        <a:noFill/>
                        <a:ln w="6350">
                          <a:noFill/>
                        </a:ln>
                      </wps:spPr>
                      <wps:txbx>
                        <w:txbxContent>
                          <w:p w14:paraId="689AC4F5" w14:textId="5322FD34" w:rsidR="00D8335D" w:rsidRPr="00D8335D" w:rsidRDefault="00D8335D" w:rsidP="00D8335D">
                            <w:pPr>
                              <w:jc w:val="center"/>
                              <w:rPr>
                                <w:b/>
                                <w:noProof/>
                                <w:color w:val="342A4C" w:themeColor="text1"/>
                                <w:sz w:val="52"/>
                                <w:szCs w:val="52"/>
                              </w:rPr>
                            </w:pPr>
                            <w:r w:rsidRPr="00D8335D">
                              <w:rPr>
                                <w:b/>
                                <w:noProof/>
                                <w:color w:val="342A4C" w:themeColor="text1"/>
                                <w:sz w:val="52"/>
                                <w:szCs w:val="52"/>
                              </w:rPr>
                              <w:t>PROBLEM LOAN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3D5BAB" id="Text Box 2" o:spid="_x0000_s1027" type="#_x0000_t202" style="position:absolute;left:0;text-align:left;margin-left:-8.45pt;margin-top:107.15pt;width:460.35pt;height:41.3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" filled="f" stroked="f" strokeweight=".5pt">
                <v:textbox>
                  <w:txbxContent>
                    <w:p w14:paraId="689AC4F5" w14:textId="5322FD34" w:rsidR="00D8335D" w:rsidRPr="00D8335D" w:rsidRDefault="00D8335D" w:rsidP="00D8335D">
                      <w:pPr>
                        <w:jc w:val="center"/>
                        <w:rPr>
                          <w:b/>
                          <w:noProof/>
                          <w:color w:val="342A4C" w:themeColor="text1"/>
                          <w:sz w:val="52"/>
                          <w:szCs w:val="52"/>
                        </w:rPr>
                      </w:pPr>
                      <w:r w:rsidRPr="00D8335D">
                        <w:rPr>
                          <w:b/>
                          <w:noProof/>
                          <w:color w:val="342A4C" w:themeColor="text1"/>
                          <w:sz w:val="52"/>
                          <w:szCs w:val="52"/>
                        </w:rPr>
                        <w:t>PROBLEM LOAN POLICY</w:t>
                      </w:r>
                    </w:p>
                  </w:txbxContent>
                </v:textbox>
              </v:shape>
            </w:pict>
          </mc:Fallback>
        </mc:AlternateContent>
      </w:r>
      <w:r w:rsidR="00D8335D" w:rsidRPr="00D60FD7">
        <w:rPr>
          <w:bCs/>
          <w:color w:val="auto"/>
          <w:sz w:val="22"/>
          <w:szCs w:val="22"/>
        </w:rPr>
        <mc:AlternateContent>
          <mc:Choice Requires="wps">
            <w:drawing>
              <wp:anchor distT="0" distB="0" distL="114300" distR="114300" simplePos="0" relativeHeight="251659264" behindDoc="0" locked="0" layoutInCell="1" allowOverlap="1" wp14:anchorId="57B9946B" wp14:editId="7E4A2A71">
                <wp:simplePos x="0" y="0"/>
                <wp:positionH relativeFrom="column">
                  <wp:posOffset>-115570</wp:posOffset>
                </wp:positionH>
                <wp:positionV relativeFrom="paragraph">
                  <wp:posOffset>1241425</wp:posOffset>
                </wp:positionV>
                <wp:extent cx="5906770" cy="0"/>
                <wp:effectExtent l="0" t="0" r="0" b="0"/>
                <wp:wrapNone/>
                <wp:docPr id="882452585" name="Straight Connector 4"/>
                <wp:cNvGraphicFramePr/>
                <a:graphic xmlns:a="http://schemas.openxmlformats.org/drawingml/2006/main">
                  <a:graphicData uri="http://schemas.microsoft.com/office/word/2010/wordprocessingShape">
                    <wps:wsp>
                      <wps:cNvCnPr/>
                      <wps:spPr>
                        <a:xfrm>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7BBF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97.75pt" to="456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" strokecolor="#342a4c [3213]" strokeweight="1pt"/>
            </w:pict>
          </mc:Fallback>
        </mc:AlternateContent>
      </w:r>
      <w:r w:rsidR="00D8335D" w:rsidRPr="00D60FD7">
        <w:rPr>
          <w:bCs/>
          <w:color w:val="auto"/>
          <w:sz w:val="22"/>
          <w:szCs w:val="22"/>
        </w:rPr>
        <mc:AlternateContent>
          <mc:Choice Requires="wps">
            <w:drawing>
              <wp:anchor distT="0" distB="0" distL="114300" distR="114300" simplePos="0" relativeHeight="251673600" behindDoc="0" locked="0" layoutInCell="1" allowOverlap="1" wp14:anchorId="51643818" wp14:editId="734D79E5">
                <wp:simplePos x="0" y="0"/>
                <wp:positionH relativeFrom="column">
                  <wp:posOffset>-108585</wp:posOffset>
                </wp:positionH>
                <wp:positionV relativeFrom="paragraph">
                  <wp:posOffset>1945410</wp:posOffset>
                </wp:positionV>
                <wp:extent cx="5906770" cy="0"/>
                <wp:effectExtent l="0" t="0" r="0" b="0"/>
                <wp:wrapNone/>
                <wp:docPr id="780446079" name="Straight Connector 4"/>
                <wp:cNvGraphicFramePr/>
                <a:graphic xmlns:a="http://schemas.openxmlformats.org/drawingml/2006/main">
                  <a:graphicData uri="http://schemas.microsoft.com/office/word/2010/wordprocessingShape">
                    <wps:wsp>
                      <wps:cNvCnPr/>
                      <wps:spPr>
                        <a:xfrm>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AE55F"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55pt,153.2pt" to="456.5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" strokecolor="#342a4c [3213]" strokeweight="1pt"/>
            </w:pict>
          </mc:Fallback>
        </mc:AlternateContent>
      </w:r>
      <w:r w:rsidR="00D8335D" w:rsidRPr="00D60FD7">
        <w:rPr>
          <w:bCs/>
          <w:color w:val="auto"/>
          <w:sz w:val="22"/>
          <w:szCs w:val="22"/>
        </w:rPr>
        <w:drawing>
          <wp:anchor distT="0" distB="0" distL="114300" distR="114300" simplePos="0" relativeHeight="251642880" behindDoc="0" locked="0" layoutInCell="1" allowOverlap="1" wp14:anchorId="305CCF89" wp14:editId="22BA4F40">
            <wp:simplePos x="0" y="0"/>
            <wp:positionH relativeFrom="column">
              <wp:posOffset>-433570</wp:posOffset>
            </wp:positionH>
            <wp:positionV relativeFrom="paragraph">
              <wp:posOffset>-539250</wp:posOffset>
            </wp:positionV>
            <wp:extent cx="2007704" cy="802888"/>
            <wp:effectExtent l="0" t="0" r="0" b="0"/>
            <wp:wrapNone/>
            <wp:docPr id="1311132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32509"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7704" cy="802888"/>
                    </a:xfrm>
                    <a:prstGeom prst="rect">
                      <a:avLst/>
                    </a:prstGeom>
                  </pic:spPr>
                </pic:pic>
              </a:graphicData>
            </a:graphic>
            <wp14:sizeRelH relativeFrom="page">
              <wp14:pctWidth>0</wp14:pctWidth>
            </wp14:sizeRelH>
            <wp14:sizeRelV relativeFrom="page">
              <wp14:pctHeight>0</wp14:pctHeight>
            </wp14:sizeRelV>
          </wp:anchor>
        </w:drawing>
      </w:r>
      <w:r w:rsidR="00AF540B" w:rsidRPr="0093357A">
        <w:br w:type="page"/>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50"/>
        <w:gridCol w:w="179"/>
        <w:gridCol w:w="1701"/>
        <w:gridCol w:w="5460"/>
      </w:tblGrid>
      <w:tr w:rsidR="0023051C" w14:paraId="1F87582F" w14:textId="77777777" w:rsidTr="00416C73">
        <w:trPr>
          <w:trHeight w:val="432"/>
        </w:trPr>
        <w:tc>
          <w:tcPr>
            <w:tcW w:w="2469" w:type="dxa"/>
            <w:gridSpan w:val="3"/>
            <w:vAlign w:val="bottom"/>
          </w:tcPr>
          <w:p w14:paraId="1275454E" w14:textId="77777777" w:rsidR="0023051C" w:rsidRPr="00704A02" w:rsidRDefault="0023051C" w:rsidP="00416C73">
            <w:pPr>
              <w:rPr>
                <w:b/>
                <w:bCs/>
              </w:rPr>
            </w:pPr>
            <w:r w:rsidRPr="00704A02">
              <w:rPr>
                <w:b/>
                <w:bCs/>
              </w:rPr>
              <w:lastRenderedPageBreak/>
              <w:t>Organizational Area</w:t>
            </w:r>
            <w:r>
              <w:rPr>
                <w:b/>
                <w:bCs/>
              </w:rPr>
              <w:t>:</w:t>
            </w:r>
          </w:p>
        </w:tc>
        <w:tc>
          <w:tcPr>
            <w:tcW w:w="7161" w:type="dxa"/>
            <w:gridSpan w:val="2"/>
            <w:tcBorders>
              <w:bottom w:val="single" w:sz="4" w:space="0" w:color="auto"/>
            </w:tcBorders>
            <w:vAlign w:val="bottom"/>
          </w:tcPr>
          <w:p w14:paraId="37F07A0F" w14:textId="77777777" w:rsidR="0023051C" w:rsidRDefault="0023051C" w:rsidP="00416C73">
            <w:r w:rsidRPr="005347EC">
              <w:t>Credit Administration</w:t>
            </w:r>
          </w:p>
        </w:tc>
      </w:tr>
      <w:tr w:rsidR="0023051C" w14:paraId="5C9E4057" w14:textId="77777777" w:rsidTr="00416C73">
        <w:trPr>
          <w:trHeight w:val="477"/>
        </w:trPr>
        <w:tc>
          <w:tcPr>
            <w:tcW w:w="1440" w:type="dxa"/>
            <w:vAlign w:val="bottom"/>
          </w:tcPr>
          <w:p w14:paraId="264EC889" w14:textId="77777777" w:rsidR="0023051C" w:rsidRPr="00704A02" w:rsidRDefault="0023051C" w:rsidP="00416C73">
            <w:pPr>
              <w:rPr>
                <w:b/>
                <w:bCs/>
              </w:rPr>
            </w:pPr>
            <w:r w:rsidRPr="00704A02">
              <w:rPr>
                <w:rFonts w:eastAsia="Calibri"/>
                <w:b/>
                <w:bCs/>
              </w:rPr>
              <w:t>Policy For:</w:t>
            </w:r>
          </w:p>
        </w:tc>
        <w:tc>
          <w:tcPr>
            <w:tcW w:w="8190" w:type="dxa"/>
            <w:gridSpan w:val="4"/>
            <w:tcBorders>
              <w:bottom w:val="single" w:sz="4" w:space="0" w:color="auto"/>
            </w:tcBorders>
            <w:vAlign w:val="bottom"/>
          </w:tcPr>
          <w:p w14:paraId="376FF1DB" w14:textId="77777777" w:rsidR="0023051C" w:rsidRDefault="0023051C" w:rsidP="00416C73">
            <w:r w:rsidRPr="0093357A">
              <w:rPr>
                <w:rFonts w:eastAsia="Calibri"/>
              </w:rPr>
              <w:t>Problem Loan Policy</w:t>
            </w:r>
          </w:p>
        </w:tc>
      </w:tr>
      <w:tr w:rsidR="0023051C" w14:paraId="62FF3B15" w14:textId="77777777" w:rsidTr="00416C73">
        <w:trPr>
          <w:trHeight w:val="441"/>
        </w:trPr>
        <w:tc>
          <w:tcPr>
            <w:tcW w:w="2469" w:type="dxa"/>
            <w:gridSpan w:val="3"/>
            <w:vAlign w:val="bottom"/>
          </w:tcPr>
          <w:p w14:paraId="3E172505" w14:textId="77777777" w:rsidR="0023051C" w:rsidRPr="00704A02" w:rsidRDefault="0023051C" w:rsidP="00416C73">
            <w:pPr>
              <w:rPr>
                <w:b/>
                <w:bCs/>
                <w:color w:val="342A4C" w:themeColor="text1"/>
                <w:spacing w:val="-6"/>
              </w:rPr>
            </w:pPr>
            <w:r w:rsidRPr="00704A02">
              <w:rPr>
                <w:rFonts w:eastAsia="Calibri"/>
                <w:b/>
                <w:bCs/>
                <w:color w:val="342A4C" w:themeColor="text1"/>
                <w:spacing w:val="-6"/>
              </w:rPr>
              <w:t>Board Approval Date:</w:t>
            </w:r>
          </w:p>
        </w:tc>
        <w:tc>
          <w:tcPr>
            <w:tcW w:w="7161" w:type="dxa"/>
            <w:gridSpan w:val="2"/>
            <w:tcBorders>
              <w:top w:val="single" w:sz="4" w:space="0" w:color="auto"/>
              <w:bottom w:val="single" w:sz="4" w:space="0" w:color="auto"/>
            </w:tcBorders>
            <w:vAlign w:val="bottom"/>
          </w:tcPr>
          <w:p w14:paraId="18F3FB5F" w14:textId="3CE67D56" w:rsidR="0023051C" w:rsidRDefault="0023051C" w:rsidP="00416C73"/>
        </w:tc>
      </w:tr>
      <w:tr w:rsidR="0023051C" w14:paraId="50AEFA94" w14:textId="77777777" w:rsidTr="00416C73">
        <w:trPr>
          <w:trHeight w:val="494"/>
        </w:trPr>
        <w:tc>
          <w:tcPr>
            <w:tcW w:w="2290" w:type="dxa"/>
            <w:gridSpan w:val="2"/>
            <w:vAlign w:val="bottom"/>
          </w:tcPr>
          <w:p w14:paraId="748A9115" w14:textId="77777777" w:rsidR="0023051C" w:rsidRPr="00704A02" w:rsidRDefault="0023051C" w:rsidP="00416C73">
            <w:pPr>
              <w:rPr>
                <w:rFonts w:eastAsia="Calibri"/>
                <w:b/>
                <w:bCs/>
                <w:spacing w:val="-6"/>
              </w:rPr>
            </w:pPr>
            <w:r w:rsidRPr="00704A02">
              <w:rPr>
                <w:rFonts w:eastAsia="Calibri"/>
                <w:b/>
                <w:bCs/>
                <w:spacing w:val="-6"/>
              </w:rPr>
              <w:t>Next Approval Date:</w:t>
            </w:r>
          </w:p>
        </w:tc>
        <w:tc>
          <w:tcPr>
            <w:tcW w:w="7340" w:type="dxa"/>
            <w:gridSpan w:val="3"/>
            <w:tcBorders>
              <w:bottom w:val="single" w:sz="4" w:space="0" w:color="auto"/>
            </w:tcBorders>
            <w:vAlign w:val="bottom"/>
          </w:tcPr>
          <w:p w14:paraId="02ECC785" w14:textId="71631153" w:rsidR="0023051C" w:rsidRPr="00814242" w:rsidRDefault="0023051C" w:rsidP="00416C73">
            <w:pPr>
              <w:tabs>
                <w:tab w:val="clear" w:pos="360"/>
              </w:tabs>
              <w:rPr>
                <w:rFonts w:eastAsia="Calibri"/>
                <w:spacing w:val="-6"/>
              </w:rPr>
            </w:pPr>
          </w:p>
        </w:tc>
      </w:tr>
      <w:tr w:rsidR="0023051C" w14:paraId="2433912C" w14:textId="77777777" w:rsidTr="00416C73">
        <w:trPr>
          <w:trHeight w:val="396"/>
        </w:trPr>
        <w:tc>
          <w:tcPr>
            <w:tcW w:w="4170" w:type="dxa"/>
            <w:gridSpan w:val="4"/>
            <w:vAlign w:val="bottom"/>
          </w:tcPr>
          <w:p w14:paraId="63CFE19F" w14:textId="77777777" w:rsidR="0023051C" w:rsidRPr="00704A02" w:rsidRDefault="0023051C" w:rsidP="00416C73">
            <w:pPr>
              <w:rPr>
                <w:rFonts w:eastAsia="Calibri"/>
                <w:b/>
                <w:bCs/>
              </w:rPr>
            </w:pPr>
            <w:r w:rsidRPr="00704A02">
              <w:rPr>
                <w:b/>
                <w:bCs/>
              </w:rPr>
              <w:t>Executive(s) Responsible for Update:</w:t>
            </w:r>
          </w:p>
        </w:tc>
        <w:tc>
          <w:tcPr>
            <w:tcW w:w="5460" w:type="dxa"/>
            <w:tcBorders>
              <w:bottom w:val="single" w:sz="4" w:space="0" w:color="auto"/>
            </w:tcBorders>
            <w:vAlign w:val="bottom"/>
          </w:tcPr>
          <w:p w14:paraId="390F8A25" w14:textId="77777777" w:rsidR="0023051C" w:rsidRDefault="0023051C" w:rsidP="00416C73"/>
        </w:tc>
      </w:tr>
      <w:tr w:rsidR="0023051C" w14:paraId="60907AC5" w14:textId="77777777" w:rsidTr="00416C73">
        <w:trPr>
          <w:trHeight w:val="396"/>
        </w:trPr>
        <w:tc>
          <w:tcPr>
            <w:tcW w:w="1440" w:type="dxa"/>
            <w:vAlign w:val="bottom"/>
          </w:tcPr>
          <w:p w14:paraId="695515C1" w14:textId="77777777" w:rsidR="0023051C" w:rsidRPr="00704A02" w:rsidRDefault="0023051C" w:rsidP="00416C73">
            <w:pPr>
              <w:rPr>
                <w:b/>
                <w:bCs/>
              </w:rPr>
            </w:pPr>
            <w:r w:rsidRPr="00704A02">
              <w:rPr>
                <w:rFonts w:eastAsia="Calibri"/>
                <w:b/>
                <w:bCs/>
              </w:rPr>
              <w:t>Signat</w:t>
            </w:r>
            <w:r w:rsidRPr="00704A02">
              <w:rPr>
                <w:b/>
                <w:bCs/>
              </w:rPr>
              <w:t>ure</w:t>
            </w:r>
            <w:r w:rsidRPr="00704A02">
              <w:rPr>
                <w:rFonts w:eastAsia="Calibri"/>
                <w:b/>
                <w:bCs/>
              </w:rPr>
              <w:t>:</w:t>
            </w:r>
          </w:p>
        </w:tc>
        <w:tc>
          <w:tcPr>
            <w:tcW w:w="8190" w:type="dxa"/>
            <w:gridSpan w:val="4"/>
            <w:tcBorders>
              <w:bottom w:val="single" w:sz="4" w:space="0" w:color="auto"/>
            </w:tcBorders>
            <w:vAlign w:val="bottom"/>
          </w:tcPr>
          <w:p w14:paraId="003085FA" w14:textId="77777777" w:rsidR="0023051C" w:rsidRDefault="0023051C" w:rsidP="00416C73"/>
        </w:tc>
      </w:tr>
    </w:tbl>
    <w:p w14:paraId="4813A0B2" w14:textId="77777777" w:rsidR="0023051C" w:rsidRPr="0093357A" w:rsidRDefault="0023051C" w:rsidP="0023051C">
      <w:pPr>
        <w:tabs>
          <w:tab w:val="clear" w:pos="360"/>
        </w:tabs>
        <w:ind w:left="-90"/>
      </w:pPr>
    </w:p>
    <w:p w14:paraId="3408B9D6" w14:textId="77777777" w:rsidR="0023051C" w:rsidRPr="007C6E2E" w:rsidRDefault="0023051C" w:rsidP="0023051C">
      <w:pPr>
        <w:tabs>
          <w:tab w:val="clear" w:pos="360"/>
        </w:tabs>
        <w:ind w:left="-90"/>
        <w:rPr>
          <w:b/>
          <w:bCs/>
        </w:rPr>
      </w:pPr>
      <w:r w:rsidRPr="007C6E2E">
        <w:rPr>
          <w:b/>
          <w:bCs/>
        </w:rPr>
        <w:t>Policy Revisions:</w:t>
      </w:r>
    </w:p>
    <w:tbl>
      <w:tblPr>
        <w:tblStyle w:val="TableGridLight"/>
        <w:tblW w:w="9355" w:type="dxa"/>
        <w:tblInd w:w="-180" w:type="dxa"/>
        <w:tblLook w:val="04A0" w:firstRow="1" w:lastRow="0" w:firstColumn="1" w:lastColumn="0" w:noHBand="0" w:noVBand="1"/>
      </w:tblPr>
      <w:tblGrid>
        <w:gridCol w:w="720"/>
        <w:gridCol w:w="805"/>
        <w:gridCol w:w="269"/>
        <w:gridCol w:w="277"/>
        <w:gridCol w:w="803"/>
        <w:gridCol w:w="1079"/>
        <w:gridCol w:w="277"/>
        <w:gridCol w:w="2515"/>
        <w:gridCol w:w="2610"/>
      </w:tblGrid>
      <w:tr w:rsidR="0023051C" w14:paraId="356E3248" w14:textId="77777777" w:rsidTr="00416C73">
        <w:trPr>
          <w:trHeight w:val="342"/>
        </w:trPr>
        <w:tc>
          <w:tcPr>
            <w:tcW w:w="720" w:type="dxa"/>
            <w:tcBorders>
              <w:top w:val="nil"/>
              <w:left w:val="nil"/>
              <w:bottom w:val="nil"/>
              <w:right w:val="nil"/>
            </w:tcBorders>
            <w:vAlign w:val="bottom"/>
          </w:tcPr>
          <w:p w14:paraId="4DCE132B" w14:textId="77777777" w:rsidR="0023051C" w:rsidRDefault="0023051C" w:rsidP="00416C73">
            <w:pPr>
              <w:tabs>
                <w:tab w:val="left" w:pos="1440"/>
                <w:tab w:val="left" w:pos="3150"/>
                <w:tab w:val="left" w:pos="5850"/>
              </w:tabs>
            </w:pPr>
            <w:r>
              <w:t>Date</w:t>
            </w:r>
          </w:p>
        </w:tc>
        <w:tc>
          <w:tcPr>
            <w:tcW w:w="1074" w:type="dxa"/>
            <w:gridSpan w:val="2"/>
            <w:tcBorders>
              <w:top w:val="nil"/>
              <w:left w:val="nil"/>
              <w:bottom w:val="single" w:sz="4" w:space="0" w:color="auto"/>
              <w:right w:val="nil"/>
            </w:tcBorders>
            <w:vAlign w:val="bottom"/>
          </w:tcPr>
          <w:p w14:paraId="75C23CF2" w14:textId="77777777" w:rsidR="0023051C" w:rsidRDefault="0023051C" w:rsidP="00416C73">
            <w:pPr>
              <w:tabs>
                <w:tab w:val="left" w:pos="1440"/>
                <w:tab w:val="left" w:pos="3150"/>
                <w:tab w:val="left" w:pos="5850"/>
              </w:tabs>
            </w:pPr>
          </w:p>
        </w:tc>
        <w:tc>
          <w:tcPr>
            <w:tcW w:w="277" w:type="dxa"/>
            <w:tcBorders>
              <w:top w:val="nil"/>
              <w:left w:val="nil"/>
              <w:bottom w:val="nil"/>
              <w:right w:val="nil"/>
            </w:tcBorders>
            <w:vAlign w:val="bottom"/>
          </w:tcPr>
          <w:p w14:paraId="37A9186F" w14:textId="77777777" w:rsidR="0023051C" w:rsidRDefault="0023051C" w:rsidP="00416C73">
            <w:pPr>
              <w:tabs>
                <w:tab w:val="left" w:pos="1440"/>
                <w:tab w:val="left" w:pos="3150"/>
                <w:tab w:val="left" w:pos="5850"/>
              </w:tabs>
            </w:pPr>
          </w:p>
        </w:tc>
        <w:tc>
          <w:tcPr>
            <w:tcW w:w="803" w:type="dxa"/>
            <w:tcBorders>
              <w:top w:val="nil"/>
              <w:left w:val="nil"/>
              <w:bottom w:val="nil"/>
              <w:right w:val="nil"/>
            </w:tcBorders>
            <w:vAlign w:val="bottom"/>
          </w:tcPr>
          <w:p w14:paraId="6D1B325D" w14:textId="77777777" w:rsidR="0023051C" w:rsidRDefault="0023051C" w:rsidP="00416C73">
            <w:pPr>
              <w:tabs>
                <w:tab w:val="left" w:pos="1440"/>
                <w:tab w:val="left" w:pos="3150"/>
                <w:tab w:val="left" w:pos="5850"/>
              </w:tabs>
            </w:pPr>
            <w:r>
              <w:t>Rev #</w:t>
            </w:r>
          </w:p>
        </w:tc>
        <w:tc>
          <w:tcPr>
            <w:tcW w:w="1079" w:type="dxa"/>
            <w:tcBorders>
              <w:top w:val="nil"/>
              <w:left w:val="nil"/>
              <w:bottom w:val="single" w:sz="4" w:space="0" w:color="auto"/>
              <w:right w:val="nil"/>
            </w:tcBorders>
            <w:vAlign w:val="bottom"/>
          </w:tcPr>
          <w:p w14:paraId="47680409" w14:textId="77777777" w:rsidR="0023051C" w:rsidRDefault="0023051C" w:rsidP="00416C73">
            <w:pPr>
              <w:tabs>
                <w:tab w:val="left" w:pos="1440"/>
                <w:tab w:val="left" w:pos="3150"/>
                <w:tab w:val="left" w:pos="5850"/>
              </w:tabs>
            </w:pPr>
          </w:p>
        </w:tc>
        <w:tc>
          <w:tcPr>
            <w:tcW w:w="277" w:type="dxa"/>
            <w:tcBorders>
              <w:top w:val="nil"/>
              <w:left w:val="nil"/>
              <w:bottom w:val="nil"/>
              <w:right w:val="nil"/>
            </w:tcBorders>
            <w:vAlign w:val="bottom"/>
          </w:tcPr>
          <w:p w14:paraId="7C6F969F" w14:textId="77777777" w:rsidR="0023051C" w:rsidRDefault="0023051C" w:rsidP="00416C73">
            <w:pPr>
              <w:tabs>
                <w:tab w:val="left" w:pos="1440"/>
                <w:tab w:val="left" w:pos="3150"/>
                <w:tab w:val="left" w:pos="5850"/>
              </w:tabs>
            </w:pPr>
          </w:p>
        </w:tc>
        <w:tc>
          <w:tcPr>
            <w:tcW w:w="2515" w:type="dxa"/>
            <w:tcBorders>
              <w:top w:val="nil"/>
              <w:left w:val="nil"/>
              <w:bottom w:val="nil"/>
              <w:right w:val="nil"/>
            </w:tcBorders>
            <w:vAlign w:val="bottom"/>
          </w:tcPr>
          <w:p w14:paraId="5FF24B4B" w14:textId="77777777" w:rsidR="0023051C" w:rsidRDefault="0023051C" w:rsidP="00416C73">
            <w:pPr>
              <w:tabs>
                <w:tab w:val="left" w:pos="1440"/>
                <w:tab w:val="left" w:pos="3150"/>
                <w:tab w:val="left" w:pos="5850"/>
              </w:tabs>
            </w:pPr>
            <w:r>
              <w:t>Description of Change</w:t>
            </w:r>
          </w:p>
        </w:tc>
        <w:tc>
          <w:tcPr>
            <w:tcW w:w="2610" w:type="dxa"/>
            <w:tcBorders>
              <w:top w:val="nil"/>
              <w:left w:val="nil"/>
              <w:bottom w:val="single" w:sz="4" w:space="0" w:color="auto"/>
              <w:right w:val="nil"/>
            </w:tcBorders>
            <w:vAlign w:val="bottom"/>
          </w:tcPr>
          <w:p w14:paraId="6D3F6E0F" w14:textId="77777777" w:rsidR="0023051C" w:rsidRDefault="0023051C" w:rsidP="00416C73">
            <w:pPr>
              <w:tabs>
                <w:tab w:val="left" w:pos="1440"/>
                <w:tab w:val="left" w:pos="3150"/>
                <w:tab w:val="left" w:pos="5850"/>
              </w:tabs>
            </w:pPr>
          </w:p>
        </w:tc>
      </w:tr>
      <w:tr w:rsidR="0023051C" w14:paraId="50067A85" w14:textId="77777777" w:rsidTr="00416C73">
        <w:trPr>
          <w:trHeight w:val="350"/>
        </w:trPr>
        <w:tc>
          <w:tcPr>
            <w:tcW w:w="1525" w:type="dxa"/>
            <w:gridSpan w:val="2"/>
            <w:tcBorders>
              <w:top w:val="nil"/>
              <w:left w:val="nil"/>
              <w:bottom w:val="nil"/>
              <w:right w:val="nil"/>
            </w:tcBorders>
            <w:vAlign w:val="bottom"/>
          </w:tcPr>
          <w:p w14:paraId="5F8BBF4F" w14:textId="77777777" w:rsidR="0023051C" w:rsidRDefault="0023051C" w:rsidP="00416C73">
            <w:pPr>
              <w:tabs>
                <w:tab w:val="left" w:pos="1440"/>
                <w:tab w:val="left" w:pos="3150"/>
                <w:tab w:val="left" w:pos="5850"/>
              </w:tabs>
            </w:pPr>
            <w:r>
              <w:t>Approved by:</w:t>
            </w:r>
          </w:p>
        </w:tc>
        <w:tc>
          <w:tcPr>
            <w:tcW w:w="7830" w:type="dxa"/>
            <w:gridSpan w:val="7"/>
            <w:tcBorders>
              <w:top w:val="nil"/>
              <w:left w:val="nil"/>
              <w:bottom w:val="single" w:sz="4" w:space="0" w:color="auto"/>
              <w:right w:val="nil"/>
            </w:tcBorders>
            <w:vAlign w:val="bottom"/>
          </w:tcPr>
          <w:p w14:paraId="0F371AA9" w14:textId="77777777" w:rsidR="0023051C" w:rsidRDefault="0023051C" w:rsidP="00416C73">
            <w:pPr>
              <w:tabs>
                <w:tab w:val="left" w:pos="1440"/>
                <w:tab w:val="left" w:pos="3150"/>
                <w:tab w:val="left" w:pos="5850"/>
              </w:tabs>
            </w:pPr>
          </w:p>
        </w:tc>
      </w:tr>
    </w:tbl>
    <w:p w14:paraId="58286188" w14:textId="37376BCF" w:rsidR="00684F33" w:rsidRPr="0084547F" w:rsidRDefault="00191035" w:rsidP="0084547F">
      <w:pPr>
        <w:pStyle w:val="Heading1"/>
      </w:pPr>
      <w:r w:rsidRPr="0084547F">
        <w:t>Policy Statement</w:t>
      </w:r>
    </w:p>
    <w:p w14:paraId="20327E64" w14:textId="2A515319" w:rsidR="009F264D" w:rsidRPr="0093357A" w:rsidRDefault="00195E5F" w:rsidP="0084547F">
      <w:r w:rsidRPr="0093357A">
        <w:t xml:space="preserve">It is the responsibility of each </w:t>
      </w:r>
      <w:r w:rsidR="000C2287" w:rsidRPr="0093357A">
        <w:t>banker to</w:t>
      </w:r>
      <w:r w:rsidRPr="0093357A">
        <w:t xml:space="preserve"> monitor their assigned loan portfolios and identify any borrower </w:t>
      </w:r>
      <w:r w:rsidR="00684F33" w:rsidRPr="0093357A">
        <w:t>that</w:t>
      </w:r>
      <w:r w:rsidRPr="0093357A">
        <w:t xml:space="preserve"> may be experiencing financial distress or negative trends with respect to their creditworthiness. </w:t>
      </w:r>
      <w:r w:rsidR="007A58DF" w:rsidRPr="0093357A">
        <w:t xml:space="preserve"> </w:t>
      </w:r>
      <w:r w:rsidR="00EC6800" w:rsidRPr="0093357A">
        <w:t xml:space="preserve">Potential problem situations </w:t>
      </w:r>
      <w:r w:rsidR="000C2287" w:rsidRPr="0093357A">
        <w:t>may be</w:t>
      </w:r>
      <w:r w:rsidR="00EC6800" w:rsidRPr="0093357A">
        <w:t xml:space="preserve"> discovered by the Credit Department </w:t>
      </w:r>
      <w:r w:rsidR="00D30DE1" w:rsidRPr="0093357A">
        <w:t xml:space="preserve">(Credit Administration or Credit Underwriting) </w:t>
      </w:r>
      <w:r w:rsidR="00EC6800" w:rsidRPr="0093357A">
        <w:t xml:space="preserve">when an annual review is completed, </w:t>
      </w:r>
      <w:r w:rsidR="00D30DE1" w:rsidRPr="0093357A">
        <w:t xml:space="preserve">through </w:t>
      </w:r>
      <w:r w:rsidR="00EC6800" w:rsidRPr="0093357A">
        <w:t xml:space="preserve">external </w:t>
      </w:r>
      <w:r w:rsidR="00D30DE1" w:rsidRPr="0093357A">
        <w:t>i</w:t>
      </w:r>
      <w:r w:rsidR="00EC6800" w:rsidRPr="0093357A">
        <w:t xml:space="preserve">ndependent </w:t>
      </w:r>
      <w:r w:rsidR="00D30DE1" w:rsidRPr="0093357A">
        <w:t>l</w:t>
      </w:r>
      <w:r w:rsidR="00EC6800" w:rsidRPr="0093357A">
        <w:t xml:space="preserve">oan </w:t>
      </w:r>
      <w:r w:rsidR="00D30DE1" w:rsidRPr="0093357A">
        <w:t>review,</w:t>
      </w:r>
      <w:r w:rsidR="00EC6800" w:rsidRPr="0093357A">
        <w:t xml:space="preserve"> o</w:t>
      </w:r>
      <w:r w:rsidR="008F3458" w:rsidRPr="0093357A">
        <w:t>r</w:t>
      </w:r>
      <w:r w:rsidR="00EC6800" w:rsidRPr="0093357A">
        <w:t xml:space="preserve"> by monitoring</w:t>
      </w:r>
      <w:r w:rsidR="008F3458" w:rsidRPr="0093357A">
        <w:t xml:space="preserve"> monthly </w:t>
      </w:r>
      <w:r w:rsidR="00EC6800" w:rsidRPr="0093357A">
        <w:t xml:space="preserve">payment patterns and delinquencies. </w:t>
      </w:r>
      <w:r w:rsidR="007A58DF" w:rsidRPr="0093357A">
        <w:t xml:space="preserve">The </w:t>
      </w:r>
      <w:r w:rsidR="00897199" w:rsidRPr="0093357A">
        <w:t>bankers</w:t>
      </w:r>
      <w:r w:rsidR="007A58DF" w:rsidRPr="0093357A">
        <w:t xml:space="preserve"> will be supported by the Bank’s credit </w:t>
      </w:r>
      <w:r w:rsidR="00684F33" w:rsidRPr="0093357A">
        <w:t>professionals,</w:t>
      </w:r>
      <w:r w:rsidR="007A58DF" w:rsidRPr="0093357A">
        <w:t xml:space="preserve"> under the mo</w:t>
      </w:r>
      <w:r w:rsidR="000C2287" w:rsidRPr="0093357A">
        <w:t>nitoring and supervision of the</w:t>
      </w:r>
      <w:r w:rsidR="00EC6800" w:rsidRPr="0093357A">
        <w:t xml:space="preserve"> </w:t>
      </w:r>
      <w:r w:rsidR="007A58DF" w:rsidRPr="0093357A">
        <w:t xml:space="preserve">Chief </w:t>
      </w:r>
      <w:r w:rsidR="00EC6800" w:rsidRPr="0093357A">
        <w:t>Credit</w:t>
      </w:r>
      <w:r w:rsidR="007A58DF" w:rsidRPr="0093357A">
        <w:t xml:space="preserve"> </w:t>
      </w:r>
      <w:r w:rsidR="000C2287" w:rsidRPr="0093357A">
        <w:t>Officer.</w:t>
      </w:r>
      <w:r w:rsidR="007A58DF" w:rsidRPr="0093357A">
        <w:t xml:space="preserve">  </w:t>
      </w:r>
    </w:p>
    <w:p w14:paraId="1E02FC71" w14:textId="77777777" w:rsidR="00A247BB" w:rsidRPr="0093357A" w:rsidRDefault="00A247BB" w:rsidP="0084547F"/>
    <w:p w14:paraId="0ED41A73" w14:textId="65AAD26E" w:rsidR="00A247BB" w:rsidRPr="0093357A" w:rsidRDefault="00A247BB" w:rsidP="0084547F">
      <w:r w:rsidRPr="0093357A">
        <w:t>General characteristics of problem loans include but are not limited to late or past due loan payments, covenant defaults, weak cash flow coverage ratios, high balance sheet and or operatin</w:t>
      </w:r>
      <w:r w:rsidR="00DB1865" w:rsidRPr="0093357A">
        <w:t>g</w:t>
      </w:r>
      <w:r w:rsidRPr="0093357A">
        <w:t xml:space="preserve"> leverage</w:t>
      </w:r>
      <w:r w:rsidR="00661A66" w:rsidRPr="0093357A">
        <w:t>,</w:t>
      </w:r>
      <w:r w:rsidRPr="0093357A">
        <w:t xml:space="preserve"> declining revenues</w:t>
      </w:r>
      <w:r w:rsidR="00715E22" w:rsidRPr="0093357A">
        <w:t>,</w:t>
      </w:r>
      <w:r w:rsidRPr="0093357A">
        <w:t xml:space="preserve"> operating losses</w:t>
      </w:r>
      <w:r w:rsidR="00715E22" w:rsidRPr="0093357A">
        <w:t xml:space="preserve"> and past due financial reporting</w:t>
      </w:r>
      <w:r w:rsidRPr="0093357A">
        <w:t xml:space="preserve">. When a potentially adverse situation is identified, the loan officer and/or credit analyst will bring it to the attention of the </w:t>
      </w:r>
      <w:r w:rsidR="006D5CC0" w:rsidRPr="0093357A">
        <w:t xml:space="preserve">appropriate </w:t>
      </w:r>
      <w:r w:rsidR="00B9020E" w:rsidRPr="0093357A">
        <w:t>L</w:t>
      </w:r>
      <w:r w:rsidR="006D5CC0" w:rsidRPr="0093357A">
        <w:t xml:space="preserve">ine of </w:t>
      </w:r>
      <w:r w:rsidR="00B9020E" w:rsidRPr="0093357A">
        <w:t>B</w:t>
      </w:r>
      <w:r w:rsidR="006D5CC0" w:rsidRPr="0093357A">
        <w:t xml:space="preserve">usiness </w:t>
      </w:r>
      <w:r w:rsidR="000C2287" w:rsidRPr="0093357A">
        <w:t>Head,</w:t>
      </w:r>
      <w:r w:rsidR="00661A66" w:rsidRPr="0093357A">
        <w:t xml:space="preserve"> the</w:t>
      </w:r>
      <w:r w:rsidRPr="0093357A">
        <w:t xml:space="preserve"> Chief Credit </w:t>
      </w:r>
      <w:r w:rsidR="00773634" w:rsidRPr="0093357A">
        <w:t>Officer, Chief</w:t>
      </w:r>
      <w:r w:rsidR="002F1D2F" w:rsidRPr="0093357A">
        <w:t xml:space="preserve"> Credit Administration Officer </w:t>
      </w:r>
      <w:r w:rsidR="00F004BC" w:rsidRPr="0093357A">
        <w:t xml:space="preserve">or Special Assets Manager </w:t>
      </w:r>
      <w:r w:rsidR="00661A66" w:rsidRPr="0093357A">
        <w:t>to protect the loan asset and maximize the recovery of the loan and related expenses.</w:t>
      </w:r>
      <w:r w:rsidRPr="0093357A">
        <w:t xml:space="preserve"> </w:t>
      </w:r>
      <w:r w:rsidR="00661A66" w:rsidRPr="0093357A">
        <w:t xml:space="preserve">In addition, </w:t>
      </w:r>
      <w:r w:rsidRPr="0093357A">
        <w:t xml:space="preserve">a determination regarding the </w:t>
      </w:r>
      <w:r w:rsidR="00661A66" w:rsidRPr="0093357A">
        <w:t xml:space="preserve">appropriate </w:t>
      </w:r>
      <w:r w:rsidRPr="0093357A">
        <w:t xml:space="preserve">risk rating </w:t>
      </w:r>
      <w:r w:rsidR="00661A66" w:rsidRPr="0093357A">
        <w:t xml:space="preserve">for the credit </w:t>
      </w:r>
      <w:r w:rsidRPr="0093357A">
        <w:t xml:space="preserve">and involvement of a Special Assets Officer will be made.       </w:t>
      </w:r>
    </w:p>
    <w:p w14:paraId="701642AF" w14:textId="6DB6D296" w:rsidR="008753C5" w:rsidRPr="0093357A" w:rsidRDefault="008753C5" w:rsidP="0084547F"/>
    <w:p w14:paraId="26AE43EB" w14:textId="0EB4886E" w:rsidR="00986C1C" w:rsidRPr="0093357A" w:rsidRDefault="00191035" w:rsidP="0084547F">
      <w:pPr>
        <w:pStyle w:val="Heading1"/>
      </w:pPr>
      <w:r w:rsidRPr="0093357A">
        <w:t xml:space="preserve">Problem Loan Monitoring, Reporting </w:t>
      </w:r>
      <w:r>
        <w:t>a</w:t>
      </w:r>
      <w:r w:rsidRPr="0093357A">
        <w:t>nd Collection Strategies</w:t>
      </w:r>
    </w:p>
    <w:p w14:paraId="037D90BD" w14:textId="721E6A52" w:rsidR="008753C5" w:rsidRPr="0093357A" w:rsidRDefault="008753C5" w:rsidP="0084547F">
      <w:r w:rsidRPr="0093357A">
        <w:t xml:space="preserve">Loans that have been identified as potential problem assets will be included on either the Bank’s </w:t>
      </w:r>
      <w:r w:rsidR="003E5C46" w:rsidRPr="0093357A">
        <w:t>watch</w:t>
      </w:r>
      <w:r w:rsidRPr="0093357A">
        <w:t xml:space="preserve"> list, to provide closer monitoring, or as a criticized (Special Mention) or classified (Substandard</w:t>
      </w:r>
      <w:r w:rsidR="00DB1865" w:rsidRPr="0093357A">
        <w:t xml:space="preserve"> or worse</w:t>
      </w:r>
      <w:r w:rsidRPr="0093357A">
        <w:t xml:space="preserve">) asset, which requires the development and implementation of work through or work out strategies.  </w:t>
      </w:r>
      <w:r w:rsidR="00E31732" w:rsidRPr="0093357A">
        <w:t>A</w:t>
      </w:r>
      <w:r w:rsidR="006B6E20" w:rsidRPr="0093357A">
        <w:t xml:space="preserve"> quarterly watch memo will be prepared for all</w:t>
      </w:r>
      <w:r w:rsidR="00E31732" w:rsidRPr="0093357A">
        <w:t xml:space="preserve"> problem loans </w:t>
      </w:r>
      <w:r w:rsidR="006B6E20" w:rsidRPr="0093357A">
        <w:t xml:space="preserve">and presented </w:t>
      </w:r>
      <w:r w:rsidR="00E31732" w:rsidRPr="0093357A">
        <w:t xml:space="preserve">at the Bank’s </w:t>
      </w:r>
      <w:r w:rsidR="006B6E20" w:rsidRPr="0093357A">
        <w:t xml:space="preserve">quarterly </w:t>
      </w:r>
      <w:r w:rsidR="00E31732" w:rsidRPr="0093357A">
        <w:t>watchlist review meetings</w:t>
      </w:r>
      <w:r w:rsidR="003E5C46" w:rsidRPr="0093357A">
        <w:t xml:space="preserve"> (please refer to the watch memo procedures for specific watch list reporting requirements)</w:t>
      </w:r>
      <w:r w:rsidR="00E31732" w:rsidRPr="0093357A">
        <w:t>.</w:t>
      </w:r>
      <w:r w:rsidR="006B6E20" w:rsidRPr="0093357A">
        <w:t xml:space="preserve">  The watch list meeting presentations will focus on action plan, strategy, risk rating triggers and if </w:t>
      </w:r>
      <w:proofErr w:type="gramStart"/>
      <w:r w:rsidR="006B6E20" w:rsidRPr="0093357A">
        <w:t>necessary</w:t>
      </w:r>
      <w:proofErr w:type="gramEnd"/>
      <w:r w:rsidR="006B6E20" w:rsidRPr="0093357A">
        <w:t xml:space="preserve"> impairment status.</w:t>
      </w:r>
    </w:p>
    <w:p w14:paraId="4C278FF4" w14:textId="0A0CEB76" w:rsidR="009F264D" w:rsidRPr="0093357A" w:rsidRDefault="009F264D" w:rsidP="0084547F"/>
    <w:p w14:paraId="59A01D2D" w14:textId="77777777" w:rsidR="00254E80" w:rsidRDefault="00350E27" w:rsidP="0084547F">
      <w:r w:rsidRPr="0093357A">
        <w:t>For any loan where the Bank has determined that an exit strategy is appropriate with the primary goal of minimizing any potential loss, the loan will be removed from the</w:t>
      </w:r>
      <w:r w:rsidR="00F25F7A">
        <w:t xml:space="preserve"> </w:t>
      </w:r>
      <w:r w:rsidR="00ED05D4" w:rsidRPr="0093357A">
        <w:t>banker</w:t>
      </w:r>
      <w:r w:rsidRPr="0093357A">
        <w:t xml:space="preserve">’s portfolio and moved into Credit Administration under the supervision of a Special Assets Officer.   </w:t>
      </w:r>
      <w:r w:rsidR="007D6B79" w:rsidRPr="0093357A">
        <w:lastRenderedPageBreak/>
        <w:t>In most cases, c</w:t>
      </w:r>
      <w:r w:rsidRPr="0093357A">
        <w:t xml:space="preserve">redits that are risk rated Substandard or worse </w:t>
      </w:r>
      <w:r w:rsidR="007D6B79" w:rsidRPr="0093357A">
        <w:t>will</w:t>
      </w:r>
      <w:r w:rsidRPr="0093357A">
        <w:t xml:space="preserve"> be transferred to </w:t>
      </w:r>
      <w:r w:rsidR="00A247BB" w:rsidRPr="0093357A">
        <w:t>S</w:t>
      </w:r>
      <w:r w:rsidRPr="0093357A">
        <w:t xml:space="preserve">pecial </w:t>
      </w:r>
      <w:r w:rsidR="00A247BB" w:rsidRPr="0093357A">
        <w:t>A</w:t>
      </w:r>
      <w:r w:rsidRPr="0093357A">
        <w:t xml:space="preserve">ssets and assigned to a </w:t>
      </w:r>
      <w:r w:rsidR="000F792D" w:rsidRPr="0093357A">
        <w:t>S</w:t>
      </w:r>
      <w:r w:rsidRPr="0093357A">
        <w:t xml:space="preserve">pecial </w:t>
      </w:r>
      <w:r w:rsidR="000F792D" w:rsidRPr="0093357A">
        <w:t>A</w:t>
      </w:r>
      <w:r w:rsidRPr="0093357A">
        <w:t xml:space="preserve">ssets </w:t>
      </w:r>
      <w:r w:rsidR="000F792D" w:rsidRPr="0093357A">
        <w:t>O</w:t>
      </w:r>
      <w:r w:rsidRPr="0093357A">
        <w:t xml:space="preserve">fficer.  </w:t>
      </w:r>
      <w:r w:rsidR="00F004BC" w:rsidRPr="0093357A">
        <w:t xml:space="preserve">However, in limited circumstances credits risk rated </w:t>
      </w:r>
      <w:r w:rsidR="00FD184E" w:rsidRPr="0093357A">
        <w:t>S</w:t>
      </w:r>
      <w:r w:rsidR="00F004BC" w:rsidRPr="0093357A">
        <w:t>ubstandard may remain with the line of business team if there are no actionable defaults</w:t>
      </w:r>
      <w:r w:rsidR="002F7C36" w:rsidRPr="0093357A">
        <w:t xml:space="preserve"> with the approval of the Special Assets Manager</w:t>
      </w:r>
      <w:r w:rsidR="00F004BC" w:rsidRPr="0093357A">
        <w:t xml:space="preserve">. </w:t>
      </w:r>
      <w:r w:rsidRPr="0093357A">
        <w:t xml:space="preserve">In situations where there are multiple obligors in the relationship, Special Assets </w:t>
      </w:r>
      <w:r w:rsidR="003E5C46" w:rsidRPr="0093357A">
        <w:t xml:space="preserve">and or the Chief Credit Officer </w:t>
      </w:r>
      <w:r w:rsidRPr="0093357A">
        <w:t xml:space="preserve">will determine if those obligors not rated substandard </w:t>
      </w:r>
      <w:r w:rsidR="000F792D" w:rsidRPr="0093357A">
        <w:t>should also</w:t>
      </w:r>
      <w:r w:rsidRPr="0093357A">
        <w:t xml:space="preserve"> be transferred into Special Assets.  </w:t>
      </w:r>
    </w:p>
    <w:p w14:paraId="122111C2" w14:textId="77777777" w:rsidR="00254E80" w:rsidRDefault="00254E80" w:rsidP="0084547F"/>
    <w:p w14:paraId="6018E4CC" w14:textId="7AC8225D" w:rsidR="00350E27" w:rsidRPr="0093357A" w:rsidRDefault="00350E27" w:rsidP="0084547F">
      <w:r w:rsidRPr="0093357A">
        <w:t xml:space="preserve">In instances where a credit is rated </w:t>
      </w:r>
      <w:r w:rsidR="005612F6" w:rsidRPr="0093357A">
        <w:t>S</w:t>
      </w:r>
      <w:r w:rsidRPr="0093357A">
        <w:t xml:space="preserve">pecial </w:t>
      </w:r>
      <w:r w:rsidR="005612F6" w:rsidRPr="0093357A">
        <w:t>M</w:t>
      </w:r>
      <w:r w:rsidRPr="0093357A">
        <w:t>ention, but remains with the</w:t>
      </w:r>
      <w:r w:rsidR="00B3718E" w:rsidRPr="0093357A">
        <w:t xml:space="preserve"> banker</w:t>
      </w:r>
      <w:r w:rsidRPr="0093357A">
        <w:t xml:space="preserve">, a Special Assets </w:t>
      </w:r>
      <w:r w:rsidR="00813B45" w:rsidRPr="0093357A">
        <w:t>Officer will</w:t>
      </w:r>
      <w:r w:rsidR="00C912D5" w:rsidRPr="0093357A">
        <w:t xml:space="preserve"> act</w:t>
      </w:r>
      <w:r w:rsidRPr="0093357A">
        <w:t xml:space="preserve"> as a </w:t>
      </w:r>
      <w:proofErr w:type="gramStart"/>
      <w:r w:rsidRPr="0093357A">
        <w:t>consult</w:t>
      </w:r>
      <w:proofErr w:type="gramEnd"/>
      <w:r w:rsidRPr="0093357A">
        <w:t xml:space="preserve"> on the </w:t>
      </w:r>
      <w:r w:rsidR="00911CC9" w:rsidRPr="0093357A">
        <w:t>credit for</w:t>
      </w:r>
      <w:r w:rsidR="00C912D5" w:rsidRPr="0093357A">
        <w:t xml:space="preserve"> </w:t>
      </w:r>
      <w:r w:rsidR="00773634" w:rsidRPr="0093357A">
        <w:t>exposures greater</w:t>
      </w:r>
      <w:r w:rsidR="007F5010" w:rsidRPr="0093357A">
        <w:t xml:space="preserve"> than $1MM</w:t>
      </w:r>
      <w:r w:rsidRPr="0093357A">
        <w:t xml:space="preserve">. </w:t>
      </w:r>
      <w:r w:rsidR="0038593B" w:rsidRPr="0093357A">
        <w:t xml:space="preserve"> Any operational products tied to a problem loan account, including deposit accounts</w:t>
      </w:r>
      <w:r w:rsidR="008C31E1" w:rsidRPr="0093357A">
        <w:t>, ACH and other</w:t>
      </w:r>
      <w:r w:rsidR="0038593B" w:rsidRPr="0093357A">
        <w:t xml:space="preserve"> treasury management </w:t>
      </w:r>
      <w:r w:rsidR="002F7C36" w:rsidRPr="0093357A">
        <w:t>services, will</w:t>
      </w:r>
      <w:r w:rsidR="00C912D5" w:rsidRPr="0093357A">
        <w:t xml:space="preserve"> </w:t>
      </w:r>
      <w:r w:rsidR="006F34C2" w:rsidRPr="0093357A">
        <w:t>be</w:t>
      </w:r>
      <w:r w:rsidR="00C912D5" w:rsidRPr="0093357A">
        <w:t xml:space="preserve"> monitored by</w:t>
      </w:r>
      <w:r w:rsidR="0038593B" w:rsidRPr="0093357A">
        <w:t xml:space="preserve"> the Special Assets Officer assigned if a decision has been made to transfer the loans into Special Assets</w:t>
      </w:r>
      <w:r w:rsidR="00097B62" w:rsidRPr="0093357A">
        <w:t>.</w:t>
      </w:r>
      <w:r w:rsidR="00265474" w:rsidRPr="0093357A">
        <w:t xml:space="preserve">  All ACH Credit exposure to borrowers downgraded to </w:t>
      </w:r>
      <w:r w:rsidR="00C912D5" w:rsidRPr="0093357A">
        <w:t xml:space="preserve">substandard </w:t>
      </w:r>
      <w:r w:rsidR="00265474" w:rsidRPr="0093357A">
        <w:t>or worse must be moved to prefunding</w:t>
      </w:r>
      <w:r w:rsidR="00C912D5" w:rsidRPr="0093357A">
        <w:t>.</w:t>
      </w:r>
      <w:r w:rsidR="00265474" w:rsidRPr="0093357A">
        <w:t xml:space="preserve"> Any exceptions to the prefunding requirement must be approved by the Chief Credit </w:t>
      </w:r>
      <w:r w:rsidR="00773634" w:rsidRPr="0093357A">
        <w:t>Officer, Special</w:t>
      </w:r>
      <w:r w:rsidR="00F004BC" w:rsidRPr="0093357A">
        <w:t xml:space="preserve"> Assets Manager</w:t>
      </w:r>
      <w:r w:rsidR="00265474" w:rsidRPr="0093357A">
        <w:t xml:space="preserve"> or the Chief Credit Administration Officer.</w:t>
      </w:r>
    </w:p>
    <w:p w14:paraId="76AA2392" w14:textId="77777777" w:rsidR="0004321F" w:rsidRDefault="0004321F" w:rsidP="0084547F"/>
    <w:p w14:paraId="237FB90C" w14:textId="6ADB35C1" w:rsidR="00CB13BD" w:rsidRPr="0093357A" w:rsidRDefault="00CB13BD" w:rsidP="0084547F">
      <w:r w:rsidRPr="0093357A">
        <w:t xml:space="preserve">For all problem loan situations assigned to Special Assets the Special Assets Officer will be responsible for minimizing losses and expenses associated with the </w:t>
      </w:r>
      <w:proofErr w:type="gramStart"/>
      <w:r w:rsidRPr="0093357A">
        <w:t>restructure</w:t>
      </w:r>
      <w:proofErr w:type="gramEnd"/>
      <w:r w:rsidRPr="0093357A">
        <w:t xml:space="preserve">, collection and or liquidation of those assets.  Special Assets Officers will be directly involved in the following areas relating to the management </w:t>
      </w:r>
      <w:r w:rsidR="00C430C9" w:rsidRPr="0093357A">
        <w:t xml:space="preserve">and monitoring </w:t>
      </w:r>
      <w:r w:rsidRPr="0093357A">
        <w:t>of problem loans:</w:t>
      </w:r>
    </w:p>
    <w:p w14:paraId="75EAD906" w14:textId="379BED89" w:rsidR="00CB13BD" w:rsidRPr="0093357A" w:rsidRDefault="00CB13BD" w:rsidP="005C3BAF">
      <w:pPr>
        <w:pStyle w:val="ListParagraph"/>
        <w:numPr>
          <w:ilvl w:val="0"/>
          <w:numId w:val="8"/>
        </w:numPr>
      </w:pPr>
      <w:r w:rsidRPr="0093357A">
        <w:t xml:space="preserve">Resolve problem loans as expeditiously as possible and improve the earnings contribution of assets </w:t>
      </w:r>
      <w:proofErr w:type="gramStart"/>
      <w:r w:rsidRPr="0093357A">
        <w:t>assigned;</w:t>
      </w:r>
      <w:proofErr w:type="gramEnd"/>
    </w:p>
    <w:p w14:paraId="4D94A8F3" w14:textId="02C01CC1" w:rsidR="00CB13BD" w:rsidRPr="0093357A" w:rsidRDefault="00CB13BD" w:rsidP="005C3BAF">
      <w:pPr>
        <w:pStyle w:val="ListParagraph"/>
        <w:numPr>
          <w:ilvl w:val="0"/>
          <w:numId w:val="8"/>
        </w:numPr>
      </w:pPr>
      <w:r w:rsidRPr="0093357A">
        <w:t xml:space="preserve">Develop and implement workout and work through action plans to minimize the losses and maximize the recoveries of non-accrual/restructured assets, principal, interest, and expenses of charged-off </w:t>
      </w:r>
      <w:proofErr w:type="gramStart"/>
      <w:r w:rsidRPr="0093357A">
        <w:t>loans;</w:t>
      </w:r>
      <w:proofErr w:type="gramEnd"/>
    </w:p>
    <w:p w14:paraId="1F1BCCA4" w14:textId="1667C6C1" w:rsidR="00B9011D" w:rsidRPr="0093357A" w:rsidRDefault="00B9011D" w:rsidP="005C3BAF">
      <w:pPr>
        <w:pStyle w:val="ListParagraph"/>
        <w:numPr>
          <w:ilvl w:val="0"/>
          <w:numId w:val="8"/>
        </w:numPr>
      </w:pPr>
      <w:r w:rsidRPr="0093357A">
        <w:t xml:space="preserve">Assign </w:t>
      </w:r>
      <w:r w:rsidR="00FB0FD5" w:rsidRPr="0093357A">
        <w:t xml:space="preserve">appropriate outside counsel when </w:t>
      </w:r>
      <w:proofErr w:type="gramStart"/>
      <w:r w:rsidR="00FB0FD5" w:rsidRPr="0093357A">
        <w:t>necessary;</w:t>
      </w:r>
      <w:proofErr w:type="gramEnd"/>
    </w:p>
    <w:p w14:paraId="5B225029" w14:textId="057E015F" w:rsidR="00CB13BD" w:rsidRPr="0093357A" w:rsidRDefault="00CB13BD" w:rsidP="005C3BAF">
      <w:pPr>
        <w:pStyle w:val="ListParagraph"/>
        <w:numPr>
          <w:ilvl w:val="0"/>
          <w:numId w:val="8"/>
        </w:numPr>
      </w:pPr>
      <w:r w:rsidRPr="0093357A">
        <w:t xml:space="preserve">Recommend specific reserve and charge-off levels to executive management </w:t>
      </w:r>
      <w:r w:rsidR="000F7E7B" w:rsidRPr="0093357A">
        <w:t xml:space="preserve">when </w:t>
      </w:r>
      <w:proofErr w:type="gramStart"/>
      <w:r w:rsidR="000F7E7B" w:rsidRPr="0093357A">
        <w:t>necessary</w:t>
      </w:r>
      <w:r w:rsidRPr="0093357A">
        <w:t>;</w:t>
      </w:r>
      <w:proofErr w:type="gramEnd"/>
    </w:p>
    <w:p w14:paraId="4E6A2596" w14:textId="77777777" w:rsidR="00CB13BD" w:rsidRPr="0093357A" w:rsidRDefault="00CB13BD" w:rsidP="005C3BAF">
      <w:pPr>
        <w:pStyle w:val="ListParagraph"/>
        <w:numPr>
          <w:ilvl w:val="0"/>
          <w:numId w:val="8"/>
        </w:numPr>
      </w:pPr>
      <w:r w:rsidRPr="0093357A">
        <w:t xml:space="preserve">Assist with preparation of the quarterly watch memos and present them at each quarterly </w:t>
      </w:r>
      <w:proofErr w:type="gramStart"/>
      <w:r w:rsidRPr="0093357A">
        <w:t>meeting;</w:t>
      </w:r>
      <w:proofErr w:type="gramEnd"/>
    </w:p>
    <w:p w14:paraId="5AB05720" w14:textId="5569D826" w:rsidR="00CB13BD" w:rsidRPr="0093357A" w:rsidRDefault="00CB13BD" w:rsidP="005C3BAF">
      <w:pPr>
        <w:pStyle w:val="ListParagraph"/>
        <w:numPr>
          <w:ilvl w:val="0"/>
          <w:numId w:val="8"/>
        </w:numPr>
      </w:pPr>
      <w:r w:rsidRPr="0093357A">
        <w:t>Manag</w:t>
      </w:r>
      <w:r w:rsidR="00E21520" w:rsidRPr="0093357A">
        <w:t>e</w:t>
      </w:r>
      <w:r w:rsidRPr="0093357A">
        <w:t xml:space="preserve"> and liquidat</w:t>
      </w:r>
      <w:r w:rsidR="00E21520" w:rsidRPr="0093357A">
        <w:t>e</w:t>
      </w:r>
      <w:r w:rsidRPr="0093357A">
        <w:t xml:space="preserve"> real property (OREO) and Other Foreclosed Assets (OFA) through the foreclosure and sale </w:t>
      </w:r>
      <w:proofErr w:type="gramStart"/>
      <w:r w:rsidRPr="0093357A">
        <w:t>process;</w:t>
      </w:r>
      <w:proofErr w:type="gramEnd"/>
    </w:p>
    <w:p w14:paraId="4E02FFCB" w14:textId="356C3426" w:rsidR="00F442CF" w:rsidRPr="0093357A" w:rsidRDefault="00F442CF" w:rsidP="005C3BAF">
      <w:pPr>
        <w:pStyle w:val="ListParagraph"/>
        <w:numPr>
          <w:ilvl w:val="0"/>
          <w:numId w:val="8"/>
        </w:numPr>
      </w:pPr>
      <w:r w:rsidRPr="0093357A">
        <w:t>Evaluat</w:t>
      </w:r>
      <w:r w:rsidR="00E21520" w:rsidRPr="0093357A">
        <w:t>e</w:t>
      </w:r>
      <w:r w:rsidRPr="0093357A">
        <w:t xml:space="preserve"> and decision over-drafts</w:t>
      </w:r>
      <w:r w:rsidR="009B6F98" w:rsidRPr="0093357A">
        <w:t xml:space="preserve"> on problem </w:t>
      </w:r>
      <w:proofErr w:type="gramStart"/>
      <w:r w:rsidR="009B6F98" w:rsidRPr="0093357A">
        <w:t>loans</w:t>
      </w:r>
      <w:r w:rsidRPr="0093357A">
        <w:t>;</w:t>
      </w:r>
      <w:proofErr w:type="gramEnd"/>
    </w:p>
    <w:p w14:paraId="7547A841" w14:textId="168AAEF7" w:rsidR="009B6F98" w:rsidRPr="0093357A" w:rsidRDefault="004145F4" w:rsidP="005C3BAF">
      <w:pPr>
        <w:pStyle w:val="ListParagraph"/>
        <w:numPr>
          <w:ilvl w:val="0"/>
          <w:numId w:val="8"/>
        </w:numPr>
      </w:pPr>
      <w:r w:rsidRPr="0093357A">
        <w:t>Monitor and updat</w:t>
      </w:r>
      <w:r w:rsidR="00E21520" w:rsidRPr="0093357A">
        <w:t>e</w:t>
      </w:r>
      <w:r w:rsidRPr="0093357A">
        <w:t xml:space="preserve"> the risk ratings of assigned problem </w:t>
      </w:r>
      <w:proofErr w:type="gramStart"/>
      <w:r w:rsidRPr="0093357A">
        <w:t>loans</w:t>
      </w:r>
      <w:r w:rsidR="00F004BC" w:rsidRPr="0093357A">
        <w:t>;</w:t>
      </w:r>
      <w:proofErr w:type="gramEnd"/>
    </w:p>
    <w:p w14:paraId="5DEFF3E0" w14:textId="5893AD74" w:rsidR="00F004BC" w:rsidRPr="0093357A" w:rsidRDefault="00F004BC" w:rsidP="005C3BAF">
      <w:pPr>
        <w:pStyle w:val="ListParagraph"/>
        <w:numPr>
          <w:ilvl w:val="0"/>
          <w:numId w:val="8"/>
        </w:numPr>
      </w:pPr>
      <w:r w:rsidRPr="0093357A">
        <w:t>Recommend loans for Collateral Dependent classification under CECL</w:t>
      </w:r>
      <w:r w:rsidR="00D52BB7" w:rsidRPr="0093357A">
        <w:t xml:space="preserve"> and interest rate concessions.</w:t>
      </w:r>
    </w:p>
    <w:p w14:paraId="34721A3A" w14:textId="19E0F8F4" w:rsidR="00FD322E" w:rsidRPr="0093357A" w:rsidRDefault="00FD322E" w:rsidP="005C3BAF">
      <w:pPr>
        <w:pStyle w:val="ListParagraph"/>
        <w:numPr>
          <w:ilvl w:val="0"/>
          <w:numId w:val="8"/>
        </w:numPr>
      </w:pPr>
      <w:r w:rsidRPr="0093357A">
        <w:t>Recommend and track Loan Modifications to borrowers experiencing financial difficulty.</w:t>
      </w:r>
    </w:p>
    <w:p w14:paraId="34B0E719" w14:textId="77777777" w:rsidR="00834F94" w:rsidRPr="0093357A" w:rsidRDefault="00834F94" w:rsidP="0084547F"/>
    <w:p w14:paraId="4D86839F" w14:textId="60D5A2B8" w:rsidR="00834F94" w:rsidRPr="0093357A" w:rsidRDefault="00834F94" w:rsidP="0084547F">
      <w:r w:rsidRPr="0093357A">
        <w:t xml:space="preserve">The status of all problem loans and the Bank’s alternatives for collection strategies will be developed and monitored by </w:t>
      </w:r>
      <w:r w:rsidR="006F34C2" w:rsidRPr="0093357A">
        <w:t xml:space="preserve">the Chief Credit Officer and </w:t>
      </w:r>
      <w:r w:rsidR="00D968F8" w:rsidRPr="0093357A">
        <w:t>Special Assets</w:t>
      </w:r>
      <w:r w:rsidR="006F34C2" w:rsidRPr="0093357A">
        <w:t xml:space="preserve"> Department</w:t>
      </w:r>
      <w:r w:rsidRPr="0093357A">
        <w:t xml:space="preserve"> and reviewed at the</w:t>
      </w:r>
      <w:r w:rsidR="00D968F8" w:rsidRPr="0093357A">
        <w:t xml:space="preserve"> </w:t>
      </w:r>
      <w:proofErr w:type="gramStart"/>
      <w:r w:rsidR="00D968F8" w:rsidRPr="0093357A">
        <w:t>watch list</w:t>
      </w:r>
      <w:proofErr w:type="gramEnd"/>
      <w:r w:rsidR="00D968F8" w:rsidRPr="0093357A">
        <w:t xml:space="preserve"> meetings </w:t>
      </w:r>
      <w:r w:rsidR="00D968F8" w:rsidRPr="00257F53">
        <w:t>or Special Assets</w:t>
      </w:r>
      <w:r w:rsidRPr="00257F53">
        <w:t xml:space="preserve"> Committee as needed.</w:t>
      </w:r>
      <w:r w:rsidRPr="0093357A">
        <w:t xml:space="preserve">  For any problem loans less than $1 million, which are in a routine foreclosure or exit strategy, the </w:t>
      </w:r>
      <w:r w:rsidR="00D52BB7" w:rsidRPr="0093357A">
        <w:t>Special Assets Manager</w:t>
      </w:r>
      <w:r w:rsidR="00E21520" w:rsidRPr="0093357A">
        <w:t xml:space="preserve"> </w:t>
      </w:r>
      <w:r w:rsidRPr="0093357A">
        <w:t xml:space="preserve">and Special Assets Officer shall develop and execute appropriate workout strategies to completion.  For problem loan situations greater than $1 million or for loans that have an unusual or non-routine </w:t>
      </w:r>
      <w:r w:rsidR="00773634" w:rsidRPr="0093357A">
        <w:t xml:space="preserve">characteristics, </w:t>
      </w:r>
      <w:r w:rsidR="00D968F8" w:rsidRPr="0093357A">
        <w:t xml:space="preserve">the workout strategy </w:t>
      </w:r>
      <w:r w:rsidR="00D52BB7" w:rsidRPr="0093357A">
        <w:t xml:space="preserve">will </w:t>
      </w:r>
      <w:r w:rsidR="00D968F8" w:rsidRPr="0093357A">
        <w:t xml:space="preserve">be reviewed with the </w:t>
      </w:r>
      <w:r w:rsidR="00D52BB7" w:rsidRPr="0093357A">
        <w:t xml:space="preserve">Chief Credit Officer and </w:t>
      </w:r>
      <w:r w:rsidR="00FD322E" w:rsidRPr="0093357A">
        <w:t xml:space="preserve">in some cases the </w:t>
      </w:r>
      <w:r w:rsidR="00D968F8" w:rsidRPr="0093357A">
        <w:t>Special Assets Committee for concurrence</w:t>
      </w:r>
      <w:r w:rsidRPr="0093357A">
        <w:t>.</w:t>
      </w:r>
    </w:p>
    <w:p w14:paraId="67639559" w14:textId="77777777" w:rsidR="00257F53" w:rsidRDefault="00257F53" w:rsidP="0084547F"/>
    <w:p w14:paraId="6892A749" w14:textId="72657343" w:rsidR="00986C1C" w:rsidRPr="0093357A" w:rsidRDefault="00986C1C" w:rsidP="0084547F">
      <w:r w:rsidRPr="0093357A">
        <w:t xml:space="preserve">Each problem loan situation may have unique characteristics that will help determine the best path of action for the Bank in considering either a work through or work out strategy.  Work through situations </w:t>
      </w:r>
      <w:proofErr w:type="gramStart"/>
      <w:r w:rsidRPr="0093357A">
        <w:t>are</w:t>
      </w:r>
      <w:proofErr w:type="gramEnd"/>
      <w:r w:rsidRPr="0093357A">
        <w:t xml:space="preserve"> typically characterized by temporary financial hardships where the borrower and/or guarantor have demonstrated a willingness and ability to carry the loan until it </w:t>
      </w:r>
      <w:r w:rsidRPr="0093357A">
        <w:lastRenderedPageBreak/>
        <w:t>returns to acceptable performance and eventually</w:t>
      </w:r>
      <w:r w:rsidR="003B605C" w:rsidRPr="0093357A">
        <w:t xml:space="preserve"> upgraded to a pass rating</w:t>
      </w:r>
      <w:r w:rsidRPr="0093357A">
        <w:t xml:space="preserve"> </w:t>
      </w:r>
      <w:r w:rsidR="003B605C" w:rsidRPr="0093357A">
        <w:t xml:space="preserve">or </w:t>
      </w:r>
      <w:r w:rsidRPr="0093357A">
        <w:t xml:space="preserve">repaid in full. The Bank will consider work-through strategies that may include modifications of existing loan terms in exchange for meaningful consideration from the borrower or guarantor, which could include, for example, the delivery of additional collateral or guaranties, the establishment of a collateral account as a payment reserve, or a substantial </w:t>
      </w:r>
      <w:r w:rsidR="00C430C9" w:rsidRPr="0093357A">
        <w:t>payment towards the</w:t>
      </w:r>
      <w:r w:rsidRPr="0093357A">
        <w:t xml:space="preserve"> principal balance.  </w:t>
      </w:r>
    </w:p>
    <w:p w14:paraId="5D288E75" w14:textId="77777777" w:rsidR="00986C1C" w:rsidRPr="0093357A" w:rsidRDefault="00986C1C" w:rsidP="0084547F"/>
    <w:p w14:paraId="77EE10C4" w14:textId="7A25221C" w:rsidR="00986C1C" w:rsidRPr="0093357A" w:rsidRDefault="00986C1C" w:rsidP="0084547F">
      <w:r w:rsidRPr="0093357A">
        <w:t xml:space="preserve">Alternatively, the Bank may consider modifications to a problem </w:t>
      </w:r>
      <w:r w:rsidR="00773634" w:rsidRPr="0093357A">
        <w:t>loan when</w:t>
      </w:r>
      <w:r w:rsidR="00D52BB7" w:rsidRPr="0093357A">
        <w:t xml:space="preserve"> the borrower is experiencing financial difficulty</w:t>
      </w:r>
      <w:r w:rsidR="00E91454" w:rsidRPr="0093357A">
        <w:t xml:space="preserve">. </w:t>
      </w:r>
      <w:r w:rsidR="00D52BB7" w:rsidRPr="0093357A">
        <w:t xml:space="preserve"> In these </w:t>
      </w:r>
      <w:proofErr w:type="gramStart"/>
      <w:r w:rsidR="00D52BB7" w:rsidRPr="0093357A">
        <w:t>situations</w:t>
      </w:r>
      <w:proofErr w:type="gramEnd"/>
      <w:r w:rsidR="00D52BB7" w:rsidRPr="0093357A">
        <w:t xml:space="preserve"> the credit will be classified as a Loan Modification on the Bank’s loan system</w:t>
      </w:r>
      <w:r w:rsidR="00E91454" w:rsidRPr="0093357A">
        <w:t xml:space="preserve"> if the Bank has granted the borrower principal forgiveness, an interest rate reduction, an other than insignificant payment delay or term </w:t>
      </w:r>
      <w:r w:rsidR="00DE3548" w:rsidRPr="0093357A">
        <w:t>extension</w:t>
      </w:r>
      <w:r w:rsidR="00D52BB7" w:rsidRPr="0093357A">
        <w:t>.</w:t>
      </w:r>
      <w:r w:rsidRPr="0093357A">
        <w:t xml:space="preserve"> Work though situations preserve the opportunity for the Bank to eventually get repaid in </w:t>
      </w:r>
      <w:proofErr w:type="gramStart"/>
      <w:r w:rsidRPr="0093357A">
        <w:t>full from</w:t>
      </w:r>
      <w:proofErr w:type="gramEnd"/>
      <w:r w:rsidRPr="0093357A">
        <w:t xml:space="preserve"> a borrower and/or guarantor who has demonstrated integrity and intention, capability and the financial wherewithal to support the loan and repay it in full.</w:t>
      </w:r>
    </w:p>
    <w:p w14:paraId="03062F7C" w14:textId="77777777" w:rsidR="00986C1C" w:rsidRPr="0093357A" w:rsidRDefault="00986C1C" w:rsidP="0084547F"/>
    <w:p w14:paraId="54C730BB" w14:textId="12455BFB" w:rsidR="00986C1C" w:rsidRPr="0093357A" w:rsidRDefault="00986C1C" w:rsidP="0084547F">
      <w:r w:rsidRPr="0093357A">
        <w:t>In all work through or work out situations, the Bank will endeavor to collect updated financial statements and</w:t>
      </w:r>
      <w:r w:rsidR="006572CD" w:rsidRPr="0093357A">
        <w:t>/or</w:t>
      </w:r>
      <w:r w:rsidRPr="0093357A">
        <w:t xml:space="preserve"> tax returns on the borrower and any guarantors.  These should include, but not be limited to, personal financial statements on any individuals, balance sheets and income statements for corporate borrowers, as well as rent rolls and lease information for commercial real estate loans.  </w:t>
      </w:r>
      <w:r w:rsidR="00C43AB6" w:rsidRPr="0093357A">
        <w:t xml:space="preserve">For </w:t>
      </w:r>
      <w:r w:rsidR="005A6B50" w:rsidRPr="0093357A">
        <w:t>Substandard</w:t>
      </w:r>
      <w:r w:rsidR="00CC048B" w:rsidRPr="0093357A">
        <w:t xml:space="preserve"> Non-</w:t>
      </w:r>
      <w:r w:rsidR="00773634" w:rsidRPr="0093357A">
        <w:t>Accrual, Collateral</w:t>
      </w:r>
      <w:r w:rsidR="00EA3714" w:rsidRPr="0093357A">
        <w:t xml:space="preserve"> Dependent</w:t>
      </w:r>
      <w:r w:rsidR="00FD58A2" w:rsidRPr="0093357A">
        <w:t xml:space="preserve"> </w:t>
      </w:r>
      <w:r w:rsidR="005A6B50" w:rsidRPr="0093357A">
        <w:t xml:space="preserve">and OREO </w:t>
      </w:r>
      <w:r w:rsidR="000C2287" w:rsidRPr="0093357A">
        <w:t>loans,</w:t>
      </w:r>
      <w:r w:rsidR="005E0CC8" w:rsidRPr="0093357A">
        <w:t xml:space="preserve"> with balances of $</w:t>
      </w:r>
      <w:r w:rsidR="00E6674C" w:rsidRPr="0093357A">
        <w:t>5</w:t>
      </w:r>
      <w:r w:rsidR="005E0CC8" w:rsidRPr="0093357A">
        <w:t>00,000 or greater,</w:t>
      </w:r>
      <w:r w:rsidRPr="0093357A">
        <w:t xml:space="preserve"> </w:t>
      </w:r>
      <w:r w:rsidR="00C43AB6" w:rsidRPr="0093357A">
        <w:t>secured by real estate</w:t>
      </w:r>
      <w:r w:rsidR="00FD58A2" w:rsidRPr="0093357A">
        <w:t xml:space="preserve"> </w:t>
      </w:r>
      <w:r w:rsidRPr="0093357A">
        <w:t>the Bank will obtain an updated appraisal on an annual basis</w:t>
      </w:r>
      <w:r w:rsidR="00350E00" w:rsidRPr="0093357A">
        <w:t xml:space="preserve"> and</w:t>
      </w:r>
      <w:r w:rsidRPr="0093357A">
        <w:t xml:space="preserve"> </w:t>
      </w:r>
      <w:r w:rsidR="00C43AB6" w:rsidRPr="0093357A">
        <w:t xml:space="preserve">use </w:t>
      </w:r>
      <w:r w:rsidRPr="0093357A">
        <w:t xml:space="preserve">the appraised value </w:t>
      </w:r>
      <w:r w:rsidR="000C2287" w:rsidRPr="0093357A">
        <w:t xml:space="preserve">less </w:t>
      </w:r>
      <w:r w:rsidR="00CB34DB" w:rsidRPr="0093357A">
        <w:t xml:space="preserve">an estimated </w:t>
      </w:r>
      <w:r w:rsidR="006572CD" w:rsidRPr="0093357A">
        <w:t>15%</w:t>
      </w:r>
      <w:r w:rsidR="00CB34DB" w:rsidRPr="0093357A">
        <w:t xml:space="preserve"> for costs of </w:t>
      </w:r>
      <w:r w:rsidR="005A6B50" w:rsidRPr="0093357A">
        <w:t xml:space="preserve">maintenance </w:t>
      </w:r>
      <w:r w:rsidR="00CB34DB" w:rsidRPr="0093357A">
        <w:t xml:space="preserve">and </w:t>
      </w:r>
      <w:r w:rsidR="00F05031" w:rsidRPr="0093357A">
        <w:t>disposition to</w:t>
      </w:r>
      <w:r w:rsidRPr="0093357A">
        <w:t xml:space="preserve"> determine whether a partial charge off should be taken. For criticized </w:t>
      </w:r>
      <w:r w:rsidR="005E0CC8" w:rsidRPr="0093357A">
        <w:t xml:space="preserve">real estate </w:t>
      </w:r>
      <w:r w:rsidRPr="0093357A">
        <w:t>loans</w:t>
      </w:r>
      <w:r w:rsidR="005E0CC8" w:rsidRPr="0093357A">
        <w:t>, with balances of $</w:t>
      </w:r>
      <w:r w:rsidR="00E6674C" w:rsidRPr="0093357A">
        <w:t>5</w:t>
      </w:r>
      <w:r w:rsidR="005E0CC8" w:rsidRPr="0093357A">
        <w:t xml:space="preserve">00,000 or greater, </w:t>
      </w:r>
      <w:r w:rsidRPr="0093357A">
        <w:t>that are still performing and not considered collateral dependent, the Bank will determine on a case-by-case basis whether to obtain an updated appraisal each year.  The appraisal would help management assess the potential for loss should the borrower and/or guarantor become unable to continue supporting the loan.  These appraisals should be obtained when the Bank cannot obtain adequate documentary support of a borrower’s and/or guarantor’s ability to continue to support the loan for at least one year.</w:t>
      </w:r>
      <w:r w:rsidR="00CC048B" w:rsidRPr="0093357A">
        <w:t xml:space="preserve"> In the</w:t>
      </w:r>
      <w:r w:rsidR="004B118D" w:rsidRPr="0093357A">
        <w:t xml:space="preserve"> above</w:t>
      </w:r>
      <w:r w:rsidR="00CC048B" w:rsidRPr="0093357A">
        <w:t xml:space="preserve"> situations where no new appraisal is ordered, the Special Assets Officer assigned must conduct a</w:t>
      </w:r>
      <w:r w:rsidR="006B4A37" w:rsidRPr="0093357A">
        <w:t>n annual</w:t>
      </w:r>
      <w:r w:rsidR="00CC048B" w:rsidRPr="0093357A">
        <w:t xml:space="preserve"> site visit either in person or through one of the bank’s approved vendors.</w:t>
      </w:r>
    </w:p>
    <w:p w14:paraId="78A55218" w14:textId="77777777" w:rsidR="00986C1C" w:rsidRPr="0093357A" w:rsidRDefault="00986C1C" w:rsidP="0084547F"/>
    <w:p w14:paraId="794B4C97" w14:textId="1C4FE533" w:rsidR="0084547F" w:rsidRDefault="00986C1C" w:rsidP="0084547F">
      <w:r w:rsidRPr="0093357A">
        <w:t xml:space="preserve">Work out or exit strategies are generally characterized by unavoidable imminent or future expected principal loss to the Bank, where the borrower and/or guarantor(s) do not demonstrate the integrity, willingness and/or ability to repay the obligation in full.  In work-out strategies, the Bank’s objective is generally to minimize the amount of potential principal loss while shortening the time period that the problem asset must be carried in the Bank’s portfolio, to reduce the capital reserves that are allocated to the asset and minimize the amount of management resources that must be utilized during the work out. </w:t>
      </w:r>
    </w:p>
    <w:p w14:paraId="3F3F5CF5" w14:textId="11FB753F" w:rsidR="00084D4A" w:rsidRPr="0093357A" w:rsidRDefault="00065CCA" w:rsidP="0084547F">
      <w:pPr>
        <w:pStyle w:val="Heading1"/>
      </w:pPr>
      <w:r w:rsidRPr="0093357A">
        <w:t xml:space="preserve">Definition </w:t>
      </w:r>
      <w:r>
        <w:t>o</w:t>
      </w:r>
      <w:r w:rsidRPr="0093357A">
        <w:t xml:space="preserve">f </w:t>
      </w:r>
      <w:r>
        <w:t>a</w:t>
      </w:r>
      <w:r w:rsidRPr="0093357A">
        <w:t xml:space="preserve"> Past Due Loan </w:t>
      </w:r>
    </w:p>
    <w:p w14:paraId="558DD011" w14:textId="1A8B0AE2" w:rsidR="00911CC9" w:rsidRPr="0093357A" w:rsidRDefault="00084D4A" w:rsidP="0084547F">
      <w:r w:rsidRPr="0093357A">
        <w:t xml:space="preserve">Loans </w:t>
      </w:r>
      <w:r w:rsidR="00A52CCB" w:rsidRPr="0093357A">
        <w:t xml:space="preserve">with payments that are </w:t>
      </w:r>
      <w:r w:rsidRPr="0093357A">
        <w:t xml:space="preserve">thirty (30) days or more past their scheduled monthly due date are considered past due. The first past due notice is sent after the applicable grace period, if any (which may be ten (10) or fifteen (15) </w:t>
      </w:r>
      <w:r w:rsidR="00F05031" w:rsidRPr="0093357A">
        <w:t>days after</w:t>
      </w:r>
      <w:r w:rsidRPr="0093357A">
        <w:t xml:space="preserve"> the due date depending on the loan type).  A second past due notice is sent at thirty days past due and every thirty days thereafter. </w:t>
      </w:r>
    </w:p>
    <w:p w14:paraId="73688F06" w14:textId="4CA9574C" w:rsidR="00084D4A" w:rsidRPr="0084547F" w:rsidRDefault="00065CCA" w:rsidP="0084547F">
      <w:pPr>
        <w:pStyle w:val="Heading1"/>
      </w:pPr>
      <w:r w:rsidRPr="0084547F">
        <w:t>Past Due Loan Reports</w:t>
      </w:r>
    </w:p>
    <w:p w14:paraId="7EE3372D" w14:textId="0B3A8499" w:rsidR="005C3BAF" w:rsidRDefault="00084D4A" w:rsidP="0084547F">
      <w:r w:rsidRPr="0084547F">
        <w:lastRenderedPageBreak/>
        <w:t>A past due report is generated on a weekly basis.  This report is distributed to all bankers</w:t>
      </w:r>
      <w:r w:rsidR="009B7FAD" w:rsidRPr="0084547F">
        <w:t xml:space="preserve">, the heads of each </w:t>
      </w:r>
      <w:r w:rsidR="00D90ABE" w:rsidRPr="0084547F">
        <w:t>Line of B</w:t>
      </w:r>
      <w:r w:rsidR="009B7FAD" w:rsidRPr="0084547F">
        <w:t>usiness, underwriters and portfolio management and the Credit Risk Management leadership team.  This report assists the bankers, underwriters and portfolio manage</w:t>
      </w:r>
      <w:r w:rsidR="00D90ABE" w:rsidRPr="0084547F">
        <w:t>rs</w:t>
      </w:r>
      <w:r w:rsidR="009B7FAD" w:rsidRPr="0084547F">
        <w:t xml:space="preserve"> in </w:t>
      </w:r>
      <w:r w:rsidRPr="0084547F">
        <w:t xml:space="preserve">identifying any potential borrowers that may be experiencing financial </w:t>
      </w:r>
      <w:proofErr w:type="gramStart"/>
      <w:r w:rsidRPr="0084547F">
        <w:t>difficultly</w:t>
      </w:r>
      <w:proofErr w:type="gramEnd"/>
      <w:r w:rsidRPr="0084547F">
        <w:t xml:space="preserve">.  Special </w:t>
      </w:r>
      <w:r w:rsidR="00911CC9" w:rsidRPr="0084547F">
        <w:t>Assets also</w:t>
      </w:r>
      <w:r w:rsidR="00D90ABE" w:rsidRPr="0084547F">
        <w:t xml:space="preserve"> receive</w:t>
      </w:r>
      <w:r w:rsidR="001D2284" w:rsidRPr="0084547F">
        <w:t>s</w:t>
      </w:r>
      <w:r w:rsidR="00D90ABE" w:rsidRPr="0084547F">
        <w:t xml:space="preserve"> this report on a weekly basis</w:t>
      </w:r>
      <w:r w:rsidRPr="0084547F">
        <w:t xml:space="preserve">. </w:t>
      </w:r>
      <w:r w:rsidR="007621E0" w:rsidRPr="0084547F">
        <w:t xml:space="preserve"> </w:t>
      </w:r>
      <w:r w:rsidR="001D2284" w:rsidRPr="0084547F">
        <w:t xml:space="preserve">The Special Assets Department will </w:t>
      </w:r>
      <w:r w:rsidR="0084452C" w:rsidRPr="0084547F">
        <w:t xml:space="preserve">act as the lead for the bank on monitoring past due accounts.  Special Assets will be responsible for following up with the appropriate lines of business </w:t>
      </w:r>
      <w:r w:rsidR="00C0709F" w:rsidRPr="0084547F">
        <w:t xml:space="preserve">on the status of past due loans.  </w:t>
      </w:r>
      <w:r w:rsidR="00DE3D25" w:rsidRPr="0084547F">
        <w:t xml:space="preserve">For loans that track to 90 days past due, Special Assets will take over the management of the case and determine whether the credit should be moved to non-accrual status.  A summary of all past due loans is reported </w:t>
      </w:r>
      <w:proofErr w:type="gramStart"/>
      <w:r w:rsidR="00DE3D25" w:rsidRPr="0084547F">
        <w:t>on</w:t>
      </w:r>
      <w:proofErr w:type="gramEnd"/>
      <w:r w:rsidR="00DE3D25" w:rsidRPr="0084547F">
        <w:t xml:space="preserve"> the Bank’s Asset Quality Report each month.  </w:t>
      </w:r>
    </w:p>
    <w:p w14:paraId="192556ED" w14:textId="77777777" w:rsidR="005C3BAF" w:rsidRDefault="005C3BAF">
      <w:pPr>
        <w:tabs>
          <w:tab w:val="clear" w:pos="360"/>
        </w:tabs>
        <w:spacing w:after="200" w:line="276" w:lineRule="auto"/>
      </w:pPr>
      <w:r>
        <w:br w:type="page"/>
      </w:r>
    </w:p>
    <w:p w14:paraId="12EB7374" w14:textId="0AC406ED" w:rsidR="005F6F0C" w:rsidRPr="0093357A" w:rsidRDefault="00065CCA" w:rsidP="0084547F">
      <w:pPr>
        <w:pStyle w:val="Heading1"/>
      </w:pPr>
      <w:r w:rsidRPr="0093357A">
        <w:lastRenderedPageBreak/>
        <w:t xml:space="preserve">Change Of Loan Status </w:t>
      </w:r>
      <w:r>
        <w:t>a</w:t>
      </w:r>
      <w:r w:rsidRPr="0093357A">
        <w:t>nd Other Problem Loan Actions</w:t>
      </w:r>
    </w:p>
    <w:p w14:paraId="6BDCBE10" w14:textId="09E66D13" w:rsidR="005F6F0C" w:rsidRPr="0093357A" w:rsidRDefault="000D6171" w:rsidP="0084547F">
      <w:r w:rsidRPr="0093357A">
        <w:t>M</w:t>
      </w:r>
      <w:r w:rsidR="008F663A" w:rsidRPr="0093357A">
        <w:t>anaging and</w:t>
      </w:r>
      <w:r w:rsidR="0080271B" w:rsidRPr="0093357A">
        <w:t xml:space="preserve"> evaluating problem loan situations </w:t>
      </w:r>
      <w:r w:rsidR="009E6B68" w:rsidRPr="0093357A">
        <w:t>may</w:t>
      </w:r>
      <w:r w:rsidR="00773634" w:rsidRPr="0093357A">
        <w:t xml:space="preserve"> </w:t>
      </w:r>
      <w:r w:rsidRPr="0093357A">
        <w:t>require the following actions</w:t>
      </w:r>
      <w:r w:rsidR="005F6F0C" w:rsidRPr="0093357A">
        <w:t>:</w:t>
      </w:r>
      <w:r w:rsidR="0080271B" w:rsidRPr="0093357A">
        <w:t xml:space="preserve"> </w:t>
      </w:r>
    </w:p>
    <w:p w14:paraId="0E745D08" w14:textId="73460B2C" w:rsidR="005F6F0C" w:rsidRPr="0093357A" w:rsidRDefault="00E16B00" w:rsidP="005C3BAF">
      <w:pPr>
        <w:pStyle w:val="ListParagraph"/>
      </w:pPr>
      <w:r w:rsidRPr="0093357A">
        <w:t>P</w:t>
      </w:r>
      <w:r w:rsidR="0080271B" w:rsidRPr="0093357A">
        <w:t xml:space="preserve">lacing </w:t>
      </w:r>
      <w:r w:rsidR="0080271B" w:rsidRPr="005C3BAF">
        <w:t>loans</w:t>
      </w:r>
      <w:r w:rsidR="0080271B" w:rsidRPr="0093357A">
        <w:t xml:space="preserve"> on non-accrual, </w:t>
      </w:r>
    </w:p>
    <w:p w14:paraId="2121C111" w14:textId="61279D7B" w:rsidR="005F6F0C" w:rsidRPr="0093357A" w:rsidRDefault="00E16B00" w:rsidP="005C3BAF">
      <w:pPr>
        <w:pStyle w:val="ListParagraph"/>
      </w:pPr>
      <w:r w:rsidRPr="0093357A">
        <w:t>Ch</w:t>
      </w:r>
      <w:r w:rsidR="00BB2C77" w:rsidRPr="0093357A">
        <w:t xml:space="preserve">arging off principal balances, </w:t>
      </w:r>
    </w:p>
    <w:p w14:paraId="26F875C1" w14:textId="47D15352" w:rsidR="005F6F0C" w:rsidRPr="0093357A" w:rsidRDefault="00E16B00" w:rsidP="005C3BAF">
      <w:pPr>
        <w:pStyle w:val="ListParagraph"/>
      </w:pPr>
      <w:r w:rsidRPr="0093357A">
        <w:t>T</w:t>
      </w:r>
      <w:r w:rsidR="00BB2C77" w:rsidRPr="0093357A">
        <w:t xml:space="preserve">aking ownership of real estate collateral,  </w:t>
      </w:r>
    </w:p>
    <w:p w14:paraId="24CA3905" w14:textId="693CDA42" w:rsidR="005F6F0C" w:rsidRPr="0093357A" w:rsidRDefault="00BB2C77" w:rsidP="005C3BAF">
      <w:pPr>
        <w:pStyle w:val="ListParagraph"/>
      </w:pPr>
      <w:r w:rsidRPr="0093357A">
        <w:t xml:space="preserve"> </w:t>
      </w:r>
      <w:r w:rsidR="00592532" w:rsidRPr="0093357A">
        <w:t>Loan Modification</w:t>
      </w:r>
      <w:r w:rsidR="001A454C" w:rsidRPr="0093357A">
        <w:t>s to Borrowers Experiencing Financial Difficulties</w:t>
      </w:r>
      <w:r w:rsidRPr="0093357A">
        <w:t xml:space="preserve">, </w:t>
      </w:r>
    </w:p>
    <w:p w14:paraId="6574956E" w14:textId="3C0A8139" w:rsidR="00BC3DDE" w:rsidRPr="0093357A" w:rsidRDefault="00BC3DDE" w:rsidP="005C3BAF">
      <w:pPr>
        <w:pStyle w:val="ListParagraph"/>
      </w:pPr>
      <w:r w:rsidRPr="0093357A">
        <w:t>Note Sales</w:t>
      </w:r>
      <w:r w:rsidR="00126C38" w:rsidRPr="0093357A">
        <w:t>,</w:t>
      </w:r>
    </w:p>
    <w:p w14:paraId="7CFA285D" w14:textId="7BFD65DA" w:rsidR="00FD4699" w:rsidRPr="00284FDC" w:rsidRDefault="00154EC5" w:rsidP="00284FDC">
      <w:pPr>
        <w:pStyle w:val="ListParagraph"/>
      </w:pPr>
      <w:r w:rsidRPr="00284FDC">
        <w:t xml:space="preserve">Initiating </w:t>
      </w:r>
      <w:r w:rsidR="0020040B" w:rsidRPr="00284FDC">
        <w:t>l</w:t>
      </w:r>
      <w:r w:rsidRPr="00284FDC">
        <w:t>itigation</w:t>
      </w:r>
      <w:r w:rsidR="00126C38" w:rsidRPr="00284FDC">
        <w:t>,</w:t>
      </w:r>
      <w:r w:rsidR="00F764D9" w:rsidRPr="00284FDC">
        <w:t xml:space="preserve"> </w:t>
      </w:r>
    </w:p>
    <w:p w14:paraId="4A8ECE5A" w14:textId="09F16A77" w:rsidR="008F663A" w:rsidRPr="0093357A" w:rsidRDefault="008F663A" w:rsidP="005C3BAF">
      <w:pPr>
        <w:pStyle w:val="ListParagraph"/>
      </w:pPr>
      <w:r w:rsidRPr="0093357A">
        <w:t>Annual reviews for problem loans managed in Special Assets</w:t>
      </w:r>
      <w:r w:rsidR="00126C38" w:rsidRPr="0093357A">
        <w:t>,</w:t>
      </w:r>
      <w:r w:rsidRPr="0093357A">
        <w:t xml:space="preserve"> </w:t>
      </w:r>
    </w:p>
    <w:p w14:paraId="623DDAFD" w14:textId="183F4EA3" w:rsidR="00E16B00" w:rsidRPr="0093357A" w:rsidRDefault="00E16B00" w:rsidP="00284FDC">
      <w:pPr>
        <w:pStyle w:val="ListParagraph"/>
      </w:pPr>
      <w:r w:rsidRPr="00284FDC">
        <w:t>Protective</w:t>
      </w:r>
      <w:r w:rsidRPr="0093357A">
        <w:t xml:space="preserve"> Advances</w:t>
      </w:r>
      <w:r w:rsidR="009F2871">
        <w:t>, or</w:t>
      </w:r>
    </w:p>
    <w:p w14:paraId="38DE7068" w14:textId="67FA5755" w:rsidR="009004AF" w:rsidRPr="0093357A" w:rsidRDefault="009004AF" w:rsidP="005C3BAF">
      <w:pPr>
        <w:pStyle w:val="ListParagraph"/>
      </w:pPr>
      <w:r w:rsidRPr="0093357A">
        <w:t>Collateral Dependent Loans and Interest Rate Concessions</w:t>
      </w:r>
    </w:p>
    <w:p w14:paraId="1B38F8BB" w14:textId="7A838E58" w:rsidR="008846D6" w:rsidRPr="0084547F" w:rsidRDefault="00F154E7" w:rsidP="0084547F">
      <w:pPr>
        <w:pStyle w:val="Heading2"/>
      </w:pPr>
      <w:r w:rsidRPr="0084547F">
        <w:t>1.</w:t>
      </w:r>
      <w:r w:rsidRPr="0084547F">
        <w:tab/>
        <w:t>Nonaccrual</w:t>
      </w:r>
      <w:r w:rsidR="00FD4699" w:rsidRPr="0084547F">
        <w:t xml:space="preserve"> </w:t>
      </w:r>
      <w:r w:rsidR="003732EB" w:rsidRPr="0084547F">
        <w:t>Status</w:t>
      </w:r>
    </w:p>
    <w:p w14:paraId="7A8CA22F" w14:textId="2EF64E23" w:rsidR="004D626B" w:rsidRPr="0093357A" w:rsidRDefault="00F154E7" w:rsidP="0084547F">
      <w:r w:rsidRPr="0093357A">
        <w:t xml:space="preserve">Generally, loans should be placed </w:t>
      </w:r>
      <w:r w:rsidR="000A1F26" w:rsidRPr="0093357A">
        <w:t>on</w:t>
      </w:r>
      <w:r w:rsidRPr="0093357A">
        <w:t xml:space="preserve"> nonaccrual status when the loan </w:t>
      </w:r>
      <w:r w:rsidR="000A2507" w:rsidRPr="0093357A">
        <w:t xml:space="preserve">exceeds </w:t>
      </w:r>
      <w:r w:rsidRPr="0093357A">
        <w:t>90 days</w:t>
      </w:r>
      <w:r w:rsidR="00925BF9" w:rsidRPr="0093357A">
        <w:t xml:space="preserve"> </w:t>
      </w:r>
      <w:r w:rsidRPr="0093357A">
        <w:t xml:space="preserve">past due, when it becomes </w:t>
      </w:r>
      <w:r w:rsidR="0003794C" w:rsidRPr="0093357A">
        <w:t>evident</w:t>
      </w:r>
      <w:r w:rsidRPr="0093357A">
        <w:t xml:space="preserve"> </w:t>
      </w:r>
      <w:r w:rsidR="00542F32" w:rsidRPr="0093357A">
        <w:t xml:space="preserve">that </w:t>
      </w:r>
      <w:r w:rsidRPr="0093357A">
        <w:t>the borrower cannot or will not make scheduled principal</w:t>
      </w:r>
      <w:r w:rsidR="00542F32" w:rsidRPr="0093357A">
        <w:t xml:space="preserve"> </w:t>
      </w:r>
      <w:r w:rsidRPr="0093357A">
        <w:t>or interest payments, or</w:t>
      </w:r>
      <w:r w:rsidR="00925BF9" w:rsidRPr="0093357A">
        <w:t xml:space="preserve"> </w:t>
      </w:r>
      <w:r w:rsidRPr="0093357A">
        <w:t xml:space="preserve">when the loan </w:t>
      </w:r>
      <w:r w:rsidR="00925BF9" w:rsidRPr="0093357A">
        <w:t xml:space="preserve">otherwise shows </w:t>
      </w:r>
      <w:r w:rsidRPr="0093357A">
        <w:t>evidence</w:t>
      </w:r>
      <w:r w:rsidR="00925BF9" w:rsidRPr="0093357A">
        <w:t xml:space="preserve"> </w:t>
      </w:r>
      <w:r w:rsidR="007621E0" w:rsidRPr="0093357A">
        <w:t>of loss</w:t>
      </w:r>
      <w:r w:rsidR="000A2507" w:rsidRPr="0093357A">
        <w:t>.</w:t>
      </w:r>
      <w:r w:rsidR="00031337" w:rsidRPr="0093357A">
        <w:t xml:space="preserve"> </w:t>
      </w:r>
      <w:proofErr w:type="gramStart"/>
      <w:r w:rsidR="00031337" w:rsidRPr="0093357A">
        <w:t>( Exception</w:t>
      </w:r>
      <w:proofErr w:type="gramEnd"/>
      <w:r w:rsidR="00031337" w:rsidRPr="0093357A">
        <w:t xml:space="preserve"> may be a loan in process of collection  </w:t>
      </w:r>
      <w:r w:rsidR="002A385F" w:rsidRPr="0093357A">
        <w:t xml:space="preserve">that </w:t>
      </w:r>
      <w:r w:rsidR="00031337" w:rsidRPr="0093357A">
        <w:t>has strong collateral coverage ).</w:t>
      </w:r>
      <w:r w:rsidRPr="0093357A">
        <w:t xml:space="preserve"> </w:t>
      </w:r>
      <w:r w:rsidR="004D626B" w:rsidRPr="0093357A">
        <w:t xml:space="preserve">In evaluating loans for possible nonaccrual status, the Bank may consider the payment </w:t>
      </w:r>
      <w:r w:rsidR="000A1F26" w:rsidRPr="0093357A">
        <w:t>history</w:t>
      </w:r>
      <w:r w:rsidR="004D626B" w:rsidRPr="0093357A">
        <w:t xml:space="preserve"> of the borrower as well as any support being provided by a willing and financially capable guarantor</w:t>
      </w:r>
      <w:r w:rsidR="000A2507" w:rsidRPr="0093357A">
        <w:t xml:space="preserve">, however the </w:t>
      </w:r>
      <w:r w:rsidR="00624BBB" w:rsidRPr="0093357A">
        <w:t>90-day</w:t>
      </w:r>
      <w:r w:rsidR="000A2507" w:rsidRPr="0093357A">
        <w:t xml:space="preserve"> limit </w:t>
      </w:r>
      <w:r w:rsidR="00D405D2" w:rsidRPr="0093357A">
        <w:t xml:space="preserve">overrides. </w:t>
      </w:r>
      <w:r w:rsidR="009E6B68" w:rsidRPr="0093357A">
        <w:t xml:space="preserve"> All loans placed on non-accrual status are coded 801 on the loan system.</w:t>
      </w:r>
      <w:r w:rsidR="00B35D91" w:rsidRPr="0093357A">
        <w:t xml:space="preserve"> </w:t>
      </w:r>
    </w:p>
    <w:p w14:paraId="0036E9A0" w14:textId="37C37BE1" w:rsidR="008846D6" w:rsidRPr="0093357A" w:rsidRDefault="008F3458" w:rsidP="0084547F">
      <w:r w:rsidRPr="0093357A">
        <w:t>A</w:t>
      </w:r>
      <w:r w:rsidR="00925BF9" w:rsidRPr="0093357A">
        <w:t xml:space="preserve">ny </w:t>
      </w:r>
      <w:r w:rsidR="00F154E7" w:rsidRPr="0093357A">
        <w:t>accrued interest should be reversed</w:t>
      </w:r>
      <w:r w:rsidR="00925BF9" w:rsidRPr="0093357A">
        <w:t xml:space="preserve"> with appropriate</w:t>
      </w:r>
      <w:r w:rsidR="00F154E7" w:rsidRPr="0093357A">
        <w:t xml:space="preserve"> accounting </w:t>
      </w:r>
      <w:r w:rsidR="00542F32" w:rsidRPr="0093357A">
        <w:t>t</w:t>
      </w:r>
      <w:r w:rsidR="00F154E7" w:rsidRPr="0093357A">
        <w:t>reatment</w:t>
      </w:r>
      <w:r w:rsidR="00925BF9" w:rsidRPr="0093357A">
        <w:t xml:space="preserve"> with respect to </w:t>
      </w:r>
      <w:r w:rsidR="00542F32" w:rsidRPr="0093357A">
        <w:t xml:space="preserve">previously </w:t>
      </w:r>
      <w:r w:rsidR="00925BF9" w:rsidRPr="0093357A">
        <w:t>reported income</w:t>
      </w:r>
      <w:r w:rsidR="00624BBB" w:rsidRPr="0093357A">
        <w:t xml:space="preserve"> </w:t>
      </w:r>
      <w:proofErr w:type="gramStart"/>
      <w:r w:rsidR="00624BBB" w:rsidRPr="0093357A">
        <w:t>( generally</w:t>
      </w:r>
      <w:proofErr w:type="gramEnd"/>
      <w:r w:rsidR="00624BBB" w:rsidRPr="0093357A">
        <w:t xml:space="preserve"> reversing the accrual back 90 days)</w:t>
      </w:r>
      <w:r w:rsidR="00F154E7" w:rsidRPr="0093357A">
        <w:t xml:space="preserve">.  Any </w:t>
      </w:r>
      <w:r w:rsidR="00542F32" w:rsidRPr="0093357A">
        <w:t xml:space="preserve">loan </w:t>
      </w:r>
      <w:r w:rsidR="00F154E7" w:rsidRPr="0093357A">
        <w:t xml:space="preserve">payments received </w:t>
      </w:r>
      <w:r w:rsidR="00542F32" w:rsidRPr="0093357A">
        <w:t xml:space="preserve">from the borrower </w:t>
      </w:r>
      <w:r w:rsidR="00624BBB" w:rsidRPr="0093357A">
        <w:t xml:space="preserve">after </w:t>
      </w:r>
      <w:proofErr w:type="gramStart"/>
      <w:r w:rsidR="00624BBB" w:rsidRPr="0093357A">
        <w:t>non</w:t>
      </w:r>
      <w:proofErr w:type="gramEnd"/>
      <w:r w:rsidR="00624BBB" w:rsidRPr="0093357A">
        <w:t xml:space="preserve">-accrual status has been confirmed, </w:t>
      </w:r>
      <w:r w:rsidR="00F154E7" w:rsidRPr="0093357A">
        <w:t>will be applied to</w:t>
      </w:r>
      <w:r w:rsidR="00925BF9" w:rsidRPr="0093357A">
        <w:t xml:space="preserve"> principal.</w:t>
      </w:r>
    </w:p>
    <w:p w14:paraId="27D903D2" w14:textId="77777777" w:rsidR="00084D4A" w:rsidRPr="0093357A" w:rsidRDefault="00084D4A" w:rsidP="0084547F"/>
    <w:p w14:paraId="496B25C2" w14:textId="2F77F05C" w:rsidR="00084D4A" w:rsidRPr="0093357A" w:rsidRDefault="00084D4A" w:rsidP="00284FDC">
      <w:r w:rsidRPr="0093357A">
        <w:t xml:space="preserve">Loans may be returned to accrual status when </w:t>
      </w:r>
      <w:r w:rsidR="000E79D1" w:rsidRPr="0093357A">
        <w:t xml:space="preserve">there has been a satisfactory period of loan payment performance for a minimum of six months and </w:t>
      </w:r>
      <w:proofErr w:type="gramStart"/>
      <w:r w:rsidRPr="0093357A">
        <w:t>contractually-owed</w:t>
      </w:r>
      <w:proofErr w:type="gramEnd"/>
      <w:r w:rsidRPr="0093357A">
        <w:t xml:space="preserve"> principal and interest pay</w:t>
      </w:r>
      <w:r w:rsidR="000E79D1" w:rsidRPr="0093357A">
        <w:t>ments are reasonably assured</w:t>
      </w:r>
      <w:r w:rsidRPr="0093357A">
        <w:t xml:space="preserve">. </w:t>
      </w:r>
    </w:p>
    <w:p w14:paraId="4B745845" w14:textId="65D3FA32" w:rsidR="00084D4A" w:rsidRPr="0093357A" w:rsidRDefault="00084D4A" w:rsidP="0084547F"/>
    <w:p w14:paraId="10322CDB" w14:textId="261D66B6" w:rsidR="00807666" w:rsidRPr="0093357A" w:rsidRDefault="00807666" w:rsidP="0084547F">
      <w:r w:rsidRPr="0093357A">
        <w:t xml:space="preserve">Special Assets is responsible for the </w:t>
      </w:r>
      <w:r w:rsidR="00773634" w:rsidRPr="0093357A">
        <w:t>quarterly update</w:t>
      </w:r>
      <w:r w:rsidR="009004AF" w:rsidRPr="0093357A">
        <w:t xml:space="preserve"> comments</w:t>
      </w:r>
      <w:r w:rsidRPr="0093357A">
        <w:t xml:space="preserve"> </w:t>
      </w:r>
      <w:r w:rsidR="009004AF" w:rsidRPr="0093357A">
        <w:t>for all collateral dependent and interest rate concession loans.</w:t>
      </w:r>
      <w:r w:rsidRPr="0093357A">
        <w:t xml:space="preserve">  </w:t>
      </w:r>
      <w:r w:rsidR="009E12DB" w:rsidRPr="0093357A">
        <w:t xml:space="preserve">The commentary is entered into the </w:t>
      </w:r>
      <w:r w:rsidR="00773634" w:rsidRPr="0093357A">
        <w:t>Bank’s master</w:t>
      </w:r>
      <w:r w:rsidR="009004AF" w:rsidRPr="0093357A">
        <w:t xml:space="preserve"> spreadsheets and reviewed quarterly with the Chief Credit Officer and Finance Team</w:t>
      </w:r>
      <w:r w:rsidR="009E12DB" w:rsidRPr="0093357A">
        <w:t>.</w:t>
      </w:r>
    </w:p>
    <w:p w14:paraId="5DAA1183" w14:textId="25A2B4A8" w:rsidR="008846D6" w:rsidRPr="0093357A" w:rsidRDefault="00F154E7" w:rsidP="0084547F">
      <w:pPr>
        <w:pStyle w:val="Heading2"/>
      </w:pPr>
      <w:r w:rsidRPr="0093357A">
        <w:t>2.</w:t>
      </w:r>
      <w:r w:rsidRPr="0093357A">
        <w:tab/>
      </w:r>
      <w:r w:rsidR="003732EB" w:rsidRPr="0093357A">
        <w:t>Full o</w:t>
      </w:r>
      <w:r w:rsidR="00115BA1" w:rsidRPr="0093357A">
        <w:t>r</w:t>
      </w:r>
      <w:r w:rsidR="003732EB" w:rsidRPr="0093357A">
        <w:t xml:space="preserve"> </w:t>
      </w:r>
      <w:r w:rsidR="00115BA1" w:rsidRPr="0093357A">
        <w:t>P</w:t>
      </w:r>
      <w:r w:rsidR="003732EB" w:rsidRPr="0093357A">
        <w:t xml:space="preserve">artial </w:t>
      </w:r>
      <w:r w:rsidRPr="0093357A">
        <w:t>Charge-Offs</w:t>
      </w:r>
      <w:r w:rsidR="003732EB" w:rsidRPr="0093357A">
        <w:t xml:space="preserve"> of Loans</w:t>
      </w:r>
    </w:p>
    <w:p w14:paraId="606EA68E" w14:textId="428DEE92" w:rsidR="000A1F26" w:rsidRPr="0093357A" w:rsidRDefault="00F154E7" w:rsidP="0084547F">
      <w:r w:rsidRPr="0093357A">
        <w:t>Unsecured consumer loans will be charged off when the loan is 120 days past du</w:t>
      </w:r>
      <w:r w:rsidR="000A1F26" w:rsidRPr="0093357A">
        <w:t>e.  The loan may be charged off sooner</w:t>
      </w:r>
      <w:r w:rsidR="00BB2C77" w:rsidRPr="0093357A">
        <w:t xml:space="preserve"> if it becomes clear that the principal balance will not be repaid</w:t>
      </w:r>
      <w:r w:rsidRPr="0093357A">
        <w:t>.</w:t>
      </w:r>
      <w:r w:rsidR="00925BF9" w:rsidRPr="0093357A">
        <w:t xml:space="preserve">  </w:t>
      </w:r>
      <w:r w:rsidRPr="0093357A">
        <w:t>Overdrafts should be charged off at the earlier of determination that recovery is not</w:t>
      </w:r>
      <w:r w:rsidR="00925BF9" w:rsidRPr="0093357A">
        <w:t xml:space="preserve"> </w:t>
      </w:r>
      <w:proofErr w:type="gramStart"/>
      <w:r w:rsidRPr="0093357A">
        <w:t>expected</w:t>
      </w:r>
      <w:proofErr w:type="gramEnd"/>
      <w:r w:rsidRPr="0093357A">
        <w:t xml:space="preserve"> or the overdraft becomes 90 days old.  Consumer loans secured by collateral</w:t>
      </w:r>
      <w:r w:rsidR="00925BF9" w:rsidRPr="0093357A">
        <w:t xml:space="preserve"> </w:t>
      </w:r>
      <w:r w:rsidRPr="0093357A">
        <w:t>other than the borrower’s primary or secondary residence are to be charged down to net</w:t>
      </w:r>
      <w:r w:rsidR="00925BF9" w:rsidRPr="0093357A">
        <w:t xml:space="preserve"> </w:t>
      </w:r>
      <w:r w:rsidRPr="0093357A">
        <w:t xml:space="preserve">recoverable </w:t>
      </w:r>
      <w:r w:rsidR="0080271B" w:rsidRPr="0093357A">
        <w:t xml:space="preserve">collateral </w:t>
      </w:r>
      <w:r w:rsidRPr="0093357A">
        <w:t>value</w:t>
      </w:r>
      <w:r w:rsidR="0080271B" w:rsidRPr="0093357A">
        <w:t xml:space="preserve"> </w:t>
      </w:r>
      <w:r w:rsidRPr="0093357A">
        <w:t xml:space="preserve">when the loan </w:t>
      </w:r>
      <w:r w:rsidR="000178AD" w:rsidRPr="0093357A">
        <w:t xml:space="preserve">exceeds </w:t>
      </w:r>
      <w:r w:rsidRPr="0093357A">
        <w:t>120 days past due</w:t>
      </w:r>
      <w:r w:rsidR="000A2425" w:rsidRPr="0093357A">
        <w:t xml:space="preserve"> or sooner if it becomes clear that the principal balance will not be repaid</w:t>
      </w:r>
      <w:r w:rsidRPr="0093357A">
        <w:t xml:space="preserve">.  </w:t>
      </w:r>
    </w:p>
    <w:p w14:paraId="0FF878DF" w14:textId="77777777" w:rsidR="000A1F26" w:rsidRPr="0093357A" w:rsidRDefault="000A1F26" w:rsidP="0084547F"/>
    <w:p w14:paraId="4A41A9F9" w14:textId="5865881D" w:rsidR="0080271B" w:rsidRPr="0093357A" w:rsidRDefault="00624BBB" w:rsidP="0084547F">
      <w:r w:rsidRPr="0093357A">
        <w:t xml:space="preserve">Foreclosure cannot begin on a residential mortgage property until the account is 120 days past due. </w:t>
      </w:r>
      <w:r w:rsidR="00F154E7" w:rsidRPr="0093357A">
        <w:t xml:space="preserve"> </w:t>
      </w:r>
      <w:r w:rsidR="000178AD" w:rsidRPr="0093357A">
        <w:t xml:space="preserve">Please see the Bank’s separate RESPA policy relating to loss mitigation on residential loans. </w:t>
      </w:r>
      <w:r w:rsidR="0080271B" w:rsidRPr="0093357A">
        <w:t xml:space="preserve">Residential </w:t>
      </w:r>
      <w:r w:rsidR="00F154E7" w:rsidRPr="0093357A">
        <w:t xml:space="preserve">mortgage loans and other mortgage-secured consumer loans </w:t>
      </w:r>
      <w:r w:rsidR="000A1F26" w:rsidRPr="0093357A">
        <w:t xml:space="preserve">that </w:t>
      </w:r>
      <w:r w:rsidR="00F154E7" w:rsidRPr="0093357A">
        <w:t xml:space="preserve">are in the process of </w:t>
      </w:r>
      <w:r w:rsidR="000A1F26" w:rsidRPr="0093357A">
        <w:t>collection</w:t>
      </w:r>
      <w:r w:rsidR="00F154E7" w:rsidRPr="0093357A">
        <w:t xml:space="preserve"> </w:t>
      </w:r>
      <w:r w:rsidR="00BB2C77" w:rsidRPr="0093357A">
        <w:t xml:space="preserve">and foreclosure </w:t>
      </w:r>
      <w:r w:rsidR="00F154E7" w:rsidRPr="0093357A">
        <w:t>are to</w:t>
      </w:r>
      <w:r w:rsidR="00925BF9" w:rsidRPr="0093357A">
        <w:t xml:space="preserve"> </w:t>
      </w:r>
      <w:r w:rsidR="00F154E7" w:rsidRPr="0093357A">
        <w:t xml:space="preserve">be charged </w:t>
      </w:r>
      <w:r w:rsidR="0080271B" w:rsidRPr="0093357A">
        <w:t xml:space="preserve">down to </w:t>
      </w:r>
      <w:r w:rsidR="00BB2C77" w:rsidRPr="0093357A">
        <w:t xml:space="preserve">the </w:t>
      </w:r>
      <w:r w:rsidR="0080271B" w:rsidRPr="0093357A">
        <w:t>estimated net realizable collateral value</w:t>
      </w:r>
      <w:r w:rsidR="006E6A91" w:rsidRPr="0093357A">
        <w:t xml:space="preserve"> based on an appraised value</w:t>
      </w:r>
      <w:r w:rsidR="000A1F26" w:rsidRPr="0093357A">
        <w:t>,</w:t>
      </w:r>
      <w:r w:rsidR="006E6A91" w:rsidRPr="0093357A">
        <w:t xml:space="preserve"> which shall be updated annually</w:t>
      </w:r>
      <w:r w:rsidR="00111886" w:rsidRPr="0093357A">
        <w:t>.</w:t>
      </w:r>
      <w:r w:rsidR="006E6A91" w:rsidRPr="0093357A">
        <w:t xml:space="preserve">  </w:t>
      </w:r>
      <w:r w:rsidR="00115BA1" w:rsidRPr="0093357A">
        <w:t>Net realizable collateral</w:t>
      </w:r>
      <w:r w:rsidR="006E6A91" w:rsidRPr="0093357A">
        <w:t xml:space="preserve"> valu</w:t>
      </w:r>
      <w:r w:rsidR="000A1F26" w:rsidRPr="0093357A">
        <w:t>e</w:t>
      </w:r>
      <w:r w:rsidR="006E6A91" w:rsidRPr="0093357A">
        <w:t xml:space="preserve"> is determined by taking the appraised value and deducting estimated costs of asset acquisition and disposal.</w:t>
      </w:r>
    </w:p>
    <w:p w14:paraId="4F7B0A47" w14:textId="5F74E986" w:rsidR="008846D6" w:rsidRPr="0093357A" w:rsidRDefault="00F154E7" w:rsidP="0084547F">
      <w:r w:rsidRPr="0093357A">
        <w:lastRenderedPageBreak/>
        <w:t>Commercial</w:t>
      </w:r>
      <w:r w:rsidR="00925BF9" w:rsidRPr="0093357A">
        <w:t xml:space="preserve"> </w:t>
      </w:r>
      <w:r w:rsidRPr="0093357A">
        <w:t xml:space="preserve">loans should be charged off </w:t>
      </w:r>
      <w:r w:rsidR="0080271B" w:rsidRPr="0093357A">
        <w:t xml:space="preserve">when </w:t>
      </w:r>
      <w:r w:rsidRPr="0093357A">
        <w:t>all or a portion of the loan balance is deemed</w:t>
      </w:r>
      <w:r w:rsidR="00925BF9" w:rsidRPr="0093357A">
        <w:t xml:space="preserve"> </w:t>
      </w:r>
      <w:r w:rsidRPr="0093357A">
        <w:t>to be uncollectible.</w:t>
      </w:r>
      <w:r w:rsidR="0080271B" w:rsidRPr="0093357A">
        <w:t xml:space="preserve">  </w:t>
      </w:r>
      <w:r w:rsidR="007621E0" w:rsidRPr="0093357A">
        <w:t>Generally,</w:t>
      </w:r>
      <w:r w:rsidR="00225A5B" w:rsidRPr="0093357A">
        <w:t xml:space="preserve"> this will occur when the borrower’s and any guarantor’s ability to generate cash to service debt has become permanently impaired, the borrower and guarantors have no other means available to them, and </w:t>
      </w:r>
      <w:r w:rsidR="00A52CCB" w:rsidRPr="0093357A">
        <w:t>there is insufficient collateral to support</w:t>
      </w:r>
      <w:r w:rsidR="00225A5B" w:rsidRPr="0093357A">
        <w:t xml:space="preserve"> </w:t>
      </w:r>
      <w:r w:rsidR="00A52CCB" w:rsidRPr="0093357A">
        <w:t xml:space="preserve">the </w:t>
      </w:r>
      <w:r w:rsidR="00225A5B" w:rsidRPr="0093357A">
        <w:t>loan</w:t>
      </w:r>
      <w:r w:rsidR="00CB34DB" w:rsidRPr="0093357A">
        <w:t xml:space="preserve">.  </w:t>
      </w:r>
      <w:r w:rsidR="00225A5B" w:rsidRPr="0093357A">
        <w:t xml:space="preserve"> </w:t>
      </w:r>
      <w:r w:rsidR="00CB34DB" w:rsidRPr="0093357A">
        <w:t>I</w:t>
      </w:r>
      <w:r w:rsidR="00225A5B" w:rsidRPr="0093357A">
        <w:t xml:space="preserve">f not already in possession of a current or recent appraisal (less than one year old), the Bank will obtain an updated appraisal for the property. </w:t>
      </w:r>
      <w:r w:rsidR="00EF3A13" w:rsidRPr="0093357A">
        <w:t>Net realizable collateral value equals the appraised value less estimated costs of asset acquisition and disposal.</w:t>
      </w:r>
    </w:p>
    <w:p w14:paraId="3E46222E" w14:textId="77777777" w:rsidR="009F264D" w:rsidRPr="0093357A" w:rsidRDefault="009F264D" w:rsidP="0084547F"/>
    <w:p w14:paraId="3266D983" w14:textId="31B179BC" w:rsidR="0084547F" w:rsidRDefault="009F264D" w:rsidP="0084547F">
      <w:r w:rsidRPr="0093357A">
        <w:t>Problem commercial loans</w:t>
      </w:r>
      <w:r w:rsidR="000A1F26" w:rsidRPr="0093357A">
        <w:t xml:space="preserve"> that</w:t>
      </w:r>
      <w:r w:rsidRPr="0093357A">
        <w:t xml:space="preserve"> are secured by business assets will be evaluated on a case-by-case basis to determine estimated net collateral value. </w:t>
      </w:r>
      <w:r w:rsidR="00FE651B">
        <w:t xml:space="preserve">Special Assets will review all proposed charge-off levels and specific reserve recommendations with the Chief Credit Officer and as part of the quarterly ACL Committee meeting. </w:t>
      </w:r>
      <w:r w:rsidR="00B90BD2">
        <w:t xml:space="preserve">(The </w:t>
      </w:r>
      <w:r w:rsidR="00B02A73">
        <w:t xml:space="preserve">ACL Committee and the Special Assets Committee will each include the following members: </w:t>
      </w:r>
      <w:r w:rsidR="001350F1">
        <w:t>Chief Credit Officer</w:t>
      </w:r>
      <w:r w:rsidR="009B71C2">
        <w:t xml:space="preserve">, </w:t>
      </w:r>
      <w:r w:rsidR="001350F1">
        <w:t>Chief Credit Administration Officer</w:t>
      </w:r>
      <w:r w:rsidR="009B71C2">
        <w:t xml:space="preserve">, </w:t>
      </w:r>
      <w:r w:rsidR="001350F1">
        <w:t>Head of Special Assets</w:t>
      </w:r>
      <w:r w:rsidR="009B71C2">
        <w:t xml:space="preserve">, </w:t>
      </w:r>
      <w:r w:rsidR="001350F1">
        <w:t>General Counsel</w:t>
      </w:r>
      <w:r w:rsidR="009B71C2">
        <w:t xml:space="preserve">, and </w:t>
      </w:r>
      <w:r w:rsidR="001350F1">
        <w:t>Chief Financial Officer</w:t>
      </w:r>
      <w:r w:rsidR="009B71C2">
        <w:t xml:space="preserve">.) </w:t>
      </w:r>
      <w:r w:rsidR="004D3AA4" w:rsidRPr="0093357A">
        <w:t xml:space="preserve">A memo supporting any charge-off or specific reserve will be placed in the credit file in </w:t>
      </w:r>
      <w:proofErr w:type="gramStart"/>
      <w:r w:rsidR="004D3AA4" w:rsidRPr="0093357A">
        <w:t>credit</w:t>
      </w:r>
      <w:proofErr w:type="gramEnd"/>
      <w:r w:rsidR="004D3AA4" w:rsidRPr="0093357A">
        <w:t xml:space="preserve"> track and signed by the Chief Credit Officer or Special Assets Manager.</w:t>
      </w:r>
    </w:p>
    <w:p w14:paraId="433318E0" w14:textId="11A50A97" w:rsidR="008846D6" w:rsidRPr="0093357A" w:rsidRDefault="00F154E7" w:rsidP="0084547F">
      <w:pPr>
        <w:pStyle w:val="Heading2"/>
      </w:pPr>
      <w:r w:rsidRPr="0093357A">
        <w:t>3.</w:t>
      </w:r>
      <w:r w:rsidRPr="0093357A">
        <w:tab/>
        <w:t>Other Real Estate</w:t>
      </w:r>
      <w:r w:rsidR="00FD4699" w:rsidRPr="0093357A">
        <w:t xml:space="preserve"> Owned</w:t>
      </w:r>
    </w:p>
    <w:p w14:paraId="42CF24F9" w14:textId="519813FC" w:rsidR="008846D6" w:rsidRPr="0093357A" w:rsidRDefault="00F154E7" w:rsidP="0084547F">
      <w:r w:rsidRPr="0093357A">
        <w:t>Other Real Estate Owned (</w:t>
      </w:r>
      <w:r w:rsidR="000A1F26" w:rsidRPr="0093357A">
        <w:t>“</w:t>
      </w:r>
      <w:r w:rsidRPr="0093357A">
        <w:t>ORE</w:t>
      </w:r>
      <w:r w:rsidR="00925BF9" w:rsidRPr="0093357A">
        <w:t>O</w:t>
      </w:r>
      <w:r w:rsidR="000A1F26" w:rsidRPr="0093357A">
        <w:t>”</w:t>
      </w:r>
      <w:r w:rsidRPr="0093357A">
        <w:t xml:space="preserve">) is booked when the title of a property used as collateral for a </w:t>
      </w:r>
      <w:proofErr w:type="gramStart"/>
      <w:r w:rsidRPr="0093357A">
        <w:t>loan passes</w:t>
      </w:r>
      <w:proofErr w:type="gramEnd"/>
      <w:r w:rsidRPr="0093357A">
        <w:t xml:space="preserve"> to the Bank</w:t>
      </w:r>
      <w:r w:rsidR="00AC3C72" w:rsidRPr="0093357A">
        <w:t xml:space="preserve"> or a special purpose subsidiary formed by the Bank for such purpose</w:t>
      </w:r>
      <w:r w:rsidRPr="0093357A">
        <w:t xml:space="preserve">.  The deed is </w:t>
      </w:r>
      <w:proofErr w:type="gramStart"/>
      <w:r w:rsidRPr="0093357A">
        <w:t>obtained</w:t>
      </w:r>
      <w:proofErr w:type="gramEnd"/>
      <w:r w:rsidRPr="0093357A">
        <w:t xml:space="preserve"> and an appraisal is </w:t>
      </w:r>
      <w:r w:rsidR="002F5DBF" w:rsidRPr="0093357A">
        <w:t>performed if the Bank is not already in possession of a current or recent appraisal (less than one year old)</w:t>
      </w:r>
      <w:r w:rsidRPr="0093357A">
        <w:t>.  The property is recorded as an asset at the lower of cost, plus costs to acquire the property (i.e., real estate taxes, sewer, legal, title insurance, filing fees) or current appraisal</w:t>
      </w:r>
      <w:r w:rsidR="002F5DBF" w:rsidRPr="0093357A">
        <w:t xml:space="preserve"> less estimated costs of disposition</w:t>
      </w:r>
      <w:r w:rsidRPr="0093357A">
        <w:t>.</w:t>
      </w:r>
      <w:r w:rsidR="00666321" w:rsidRPr="0093357A">
        <w:t xml:space="preserve">  When Commercial Real Property is the collateral, an updated </w:t>
      </w:r>
      <w:r w:rsidR="00F73357" w:rsidRPr="0093357A">
        <w:t xml:space="preserve">and satisfactory </w:t>
      </w:r>
      <w:r w:rsidR="00666321" w:rsidRPr="0093357A">
        <w:t xml:space="preserve">Phase 1 Environmental report must be obtained prior to completion of the foreclosure process and OREO booking. </w:t>
      </w:r>
    </w:p>
    <w:p w14:paraId="1FCA2EA3" w14:textId="77777777" w:rsidR="008846D6" w:rsidRPr="0093357A" w:rsidRDefault="008846D6" w:rsidP="0084547F"/>
    <w:p w14:paraId="2A6BF650" w14:textId="778DD532" w:rsidR="008846D6" w:rsidRPr="0093357A" w:rsidRDefault="00F154E7" w:rsidP="0084547F">
      <w:r w:rsidRPr="0093357A">
        <w:t xml:space="preserve">Payment of taxes, insurance, and other necessary expenses </w:t>
      </w:r>
      <w:r w:rsidR="00F73357" w:rsidRPr="0093357A">
        <w:t>is</w:t>
      </w:r>
      <w:r w:rsidRPr="0093357A">
        <w:t xml:space="preserve"> monitored </w:t>
      </w:r>
      <w:r w:rsidR="000A2425" w:rsidRPr="0093357A">
        <w:t xml:space="preserve">and approved by </w:t>
      </w:r>
      <w:r w:rsidR="00F73357" w:rsidRPr="0093357A">
        <w:t>Special Assets</w:t>
      </w:r>
      <w:r w:rsidR="000A2425" w:rsidRPr="0093357A">
        <w:t xml:space="preserve"> and processed by the Finance Department</w:t>
      </w:r>
      <w:r w:rsidRPr="0093357A">
        <w:t xml:space="preserve">. </w:t>
      </w:r>
      <w:r w:rsidR="000178AD" w:rsidRPr="0093357A">
        <w:t xml:space="preserve">The Special Assets Officer assigned will determine if the OREO costs exceed our standard discount factor (15%) and if </w:t>
      </w:r>
      <w:proofErr w:type="gramStart"/>
      <w:r w:rsidR="000178AD" w:rsidRPr="0093357A">
        <w:t>so</w:t>
      </w:r>
      <w:proofErr w:type="gramEnd"/>
      <w:r w:rsidR="000178AD" w:rsidRPr="0093357A">
        <w:t xml:space="preserve"> the carrying value of the asset will be adjusted accordingly. </w:t>
      </w:r>
      <w:r w:rsidRPr="0093357A">
        <w:t xml:space="preserve">Lending personnel should evaluate potential environmental liability and </w:t>
      </w:r>
      <w:r w:rsidR="0043464C" w:rsidRPr="0093357A">
        <w:t xml:space="preserve">the cost to comply with the </w:t>
      </w:r>
      <w:r w:rsidR="00C27266" w:rsidRPr="0093357A">
        <w:t xml:space="preserve">Americans with Disabilities Act </w:t>
      </w:r>
      <w:r w:rsidR="0043464C" w:rsidRPr="0093357A">
        <w:t>(“</w:t>
      </w:r>
      <w:r w:rsidRPr="0093357A">
        <w:t>ADA</w:t>
      </w:r>
      <w:r w:rsidR="0043464C" w:rsidRPr="0093357A">
        <w:t>”)</w:t>
      </w:r>
      <w:r w:rsidRPr="0093357A">
        <w:t xml:space="preserve"> prior to initiating foreclosure proceedings.</w:t>
      </w:r>
    </w:p>
    <w:p w14:paraId="0AD51F67" w14:textId="77777777" w:rsidR="008846D6" w:rsidRPr="0093357A" w:rsidRDefault="008846D6" w:rsidP="0084547F"/>
    <w:p w14:paraId="2D2258B5" w14:textId="6E4C3AC6" w:rsidR="008846D6" w:rsidRDefault="002818D3" w:rsidP="0084547F">
      <w:r w:rsidRPr="0093357A">
        <w:t>A</w:t>
      </w:r>
      <w:r w:rsidR="00F73357" w:rsidRPr="0093357A">
        <w:t>lthough such financings are discouraged, a</w:t>
      </w:r>
      <w:r w:rsidRPr="0093357A">
        <w:t xml:space="preserve">ny loans to facilitate the sale of OREO to a </w:t>
      </w:r>
      <w:proofErr w:type="gramStart"/>
      <w:r w:rsidRPr="0093357A">
        <w:t>purchaser</w:t>
      </w:r>
      <w:r w:rsidR="0003614C" w:rsidRPr="0093357A">
        <w:t>,</w:t>
      </w:r>
      <w:proofErr w:type="gramEnd"/>
      <w:r w:rsidRPr="0093357A">
        <w:t xml:space="preserve"> must adhere to the Bank’s Loan Policy and to usual and customary credit criteria for the specific type of real estate loan being granted.  </w:t>
      </w:r>
      <w:r w:rsidR="00F154E7" w:rsidRPr="0093357A">
        <w:t>Extending loans that could be classified</w:t>
      </w:r>
      <w:r w:rsidR="002F5DBF" w:rsidRPr="0093357A">
        <w:t xml:space="preserve"> </w:t>
      </w:r>
      <w:r w:rsidR="00F154E7" w:rsidRPr="0093357A">
        <w:t>as covered transactions is discouraged.  A covered transaction is defined in Statement</w:t>
      </w:r>
      <w:r w:rsidR="002F5DBF" w:rsidRPr="0093357A">
        <w:t xml:space="preserve"> </w:t>
      </w:r>
      <w:r w:rsidR="00F154E7" w:rsidRPr="0093357A">
        <w:t>of Financial Accounting Standards No. 66 (</w:t>
      </w:r>
      <w:r w:rsidR="0043464C" w:rsidRPr="0093357A">
        <w:t>“</w:t>
      </w:r>
      <w:r w:rsidR="00F154E7" w:rsidRPr="0093357A">
        <w:t>FAS 66</w:t>
      </w:r>
      <w:r w:rsidR="0043464C" w:rsidRPr="0093357A">
        <w:t>”</w:t>
      </w:r>
      <w:r w:rsidR="00F154E7" w:rsidRPr="0093357A">
        <w:t xml:space="preserve">).  </w:t>
      </w:r>
      <w:r w:rsidR="0043464C" w:rsidRPr="0093357A">
        <w:t xml:space="preserve">A </w:t>
      </w:r>
      <w:r w:rsidR="00F154E7" w:rsidRPr="0093357A">
        <w:t xml:space="preserve">covered transaction </w:t>
      </w:r>
      <w:r w:rsidR="0043464C" w:rsidRPr="0093357A">
        <w:t>is</w:t>
      </w:r>
      <w:r w:rsidR="002F5DBF" w:rsidRPr="0093357A">
        <w:t xml:space="preserve"> </w:t>
      </w:r>
      <w:r w:rsidR="00F154E7" w:rsidRPr="0093357A">
        <w:t>a loan to facilitate the sale of ORE</w:t>
      </w:r>
      <w:r w:rsidR="00925BF9" w:rsidRPr="0093357A">
        <w:t>O</w:t>
      </w:r>
      <w:r w:rsidR="00F154E7" w:rsidRPr="0093357A">
        <w:t xml:space="preserve"> where:</w:t>
      </w:r>
    </w:p>
    <w:p w14:paraId="2EF1F89A" w14:textId="77777777" w:rsidR="00C17F4A" w:rsidRPr="0093357A" w:rsidRDefault="00C17F4A" w:rsidP="0084547F"/>
    <w:p w14:paraId="2FED51BA" w14:textId="1D320F4F" w:rsidR="008846D6" w:rsidRPr="0093357A" w:rsidRDefault="00F154E7" w:rsidP="00F80A8D">
      <w:pPr>
        <w:pStyle w:val="Bulletlist"/>
      </w:pPr>
      <w:r w:rsidRPr="0093357A">
        <w:t>The transaction is not considered a sale under generally accepted accounting</w:t>
      </w:r>
      <w:r w:rsidR="00E227EC">
        <w:t xml:space="preserve"> </w:t>
      </w:r>
      <w:r w:rsidR="0043464C" w:rsidRPr="0093357A">
        <w:t>p</w:t>
      </w:r>
      <w:r w:rsidR="002818D3" w:rsidRPr="0093357A">
        <w:t>rincip</w:t>
      </w:r>
      <w:r w:rsidR="0097197E" w:rsidRPr="0093357A">
        <w:t>les.</w:t>
      </w:r>
      <w:r w:rsidRPr="0093357A">
        <w:t xml:space="preserve">  FAS 66 defines five different methods of accounting for sales of</w:t>
      </w:r>
      <w:r w:rsidR="00DB151A">
        <w:t xml:space="preserve"> </w:t>
      </w:r>
      <w:r w:rsidRPr="0093357A">
        <w:t>ORE</w:t>
      </w:r>
      <w:r w:rsidR="00925BF9" w:rsidRPr="0093357A">
        <w:t>O</w:t>
      </w:r>
      <w:r w:rsidRPr="0093357A">
        <w:t>.  Lendin</w:t>
      </w:r>
      <w:r w:rsidR="0043464C" w:rsidRPr="0093357A">
        <w:t xml:space="preserve">g professionals </w:t>
      </w:r>
      <w:r w:rsidRPr="0093357A">
        <w:t>involved in financing sales of ORE</w:t>
      </w:r>
      <w:r w:rsidR="00925BF9" w:rsidRPr="0093357A">
        <w:t>O</w:t>
      </w:r>
      <w:r w:rsidRPr="0093357A">
        <w:t xml:space="preserve"> should be familiar</w:t>
      </w:r>
      <w:r w:rsidR="0093357A" w:rsidRPr="0093357A">
        <w:t xml:space="preserve"> </w:t>
      </w:r>
      <w:r w:rsidRPr="0093357A">
        <w:t xml:space="preserve">with the impact to the </w:t>
      </w:r>
      <w:r w:rsidR="0043464C" w:rsidRPr="0093357A">
        <w:t>B</w:t>
      </w:r>
      <w:r w:rsidRPr="0093357A">
        <w:t xml:space="preserve">ank and </w:t>
      </w:r>
      <w:r w:rsidR="0043464C" w:rsidRPr="0093357A">
        <w:t xml:space="preserve">the </w:t>
      </w:r>
      <w:r w:rsidRPr="0093357A">
        <w:t>accounting treatment for transactions classified</w:t>
      </w:r>
      <w:r w:rsidR="0093357A" w:rsidRPr="0093357A">
        <w:t xml:space="preserve"> </w:t>
      </w:r>
      <w:r w:rsidRPr="0093357A">
        <w:t>under the full accrual method, the installment method, the cost recovery method,</w:t>
      </w:r>
      <w:r w:rsidR="0093357A" w:rsidRPr="0093357A">
        <w:t xml:space="preserve"> </w:t>
      </w:r>
      <w:r w:rsidRPr="0093357A">
        <w:t>the</w:t>
      </w:r>
      <w:r w:rsidR="0043464C" w:rsidRPr="0093357A">
        <w:t xml:space="preserve"> </w:t>
      </w:r>
      <w:r w:rsidRPr="0093357A">
        <w:t>reduced</w:t>
      </w:r>
      <w:r w:rsidR="0043464C" w:rsidRPr="0093357A">
        <w:t xml:space="preserve"> </w:t>
      </w:r>
      <w:r w:rsidRPr="0093357A">
        <w:t xml:space="preserve">profit </w:t>
      </w:r>
      <w:r w:rsidR="002818D3" w:rsidRPr="0093357A">
        <w:t>method</w:t>
      </w:r>
      <w:r w:rsidRPr="0093357A">
        <w:t xml:space="preserve"> and the deposit method.</w:t>
      </w:r>
    </w:p>
    <w:p w14:paraId="2B8B549C" w14:textId="52EE9A09" w:rsidR="00C17F4A" w:rsidRDefault="00F154E7" w:rsidP="00284FDC">
      <w:pPr>
        <w:pStyle w:val="Bulletlist"/>
      </w:pPr>
      <w:r w:rsidRPr="0093357A">
        <w:t>The transaction does not involve a U.S. government agency-guaranteed or insured</w:t>
      </w:r>
      <w:r w:rsidR="0093357A" w:rsidRPr="0093357A">
        <w:t xml:space="preserve"> </w:t>
      </w:r>
      <w:r w:rsidRPr="0093357A">
        <w:t>loan, or a loan eligible for purchase by a federally sponsored instrumentality that</w:t>
      </w:r>
      <w:r w:rsidR="0093357A" w:rsidRPr="0093357A">
        <w:t xml:space="preserve"> </w:t>
      </w:r>
      <w:r w:rsidRPr="0093357A">
        <w:t>purchases loans.</w:t>
      </w:r>
    </w:p>
    <w:p w14:paraId="2E6204DC" w14:textId="5DEF9585" w:rsidR="00C17F4A" w:rsidRDefault="00F154E7" w:rsidP="005C3BAF">
      <w:pPr>
        <w:pStyle w:val="ListParagraph"/>
        <w:numPr>
          <w:ilvl w:val="0"/>
          <w:numId w:val="21"/>
        </w:numPr>
      </w:pPr>
      <w:r w:rsidRPr="0093357A">
        <w:lastRenderedPageBreak/>
        <w:t>The borrower’s accumulation of cash, principal and interest payments, and private</w:t>
      </w:r>
      <w:r w:rsidR="0093357A" w:rsidRPr="0093357A">
        <w:t xml:space="preserve"> </w:t>
      </w:r>
      <w:r w:rsidRPr="0093357A">
        <w:t xml:space="preserve">mortgage insurance totals less than </w:t>
      </w:r>
      <w:r w:rsidR="0043464C" w:rsidRPr="0093357A">
        <w:t>ten</w:t>
      </w:r>
      <w:r w:rsidRPr="0093357A">
        <w:t xml:space="preserve"> percent of the sale price, as measured in</w:t>
      </w:r>
      <w:r w:rsidR="0093357A" w:rsidRPr="0093357A">
        <w:t xml:space="preserve"> </w:t>
      </w:r>
      <w:r w:rsidRPr="0093357A">
        <w:t>accordance with generally accepted accounting princip</w:t>
      </w:r>
      <w:r w:rsidR="0097197E" w:rsidRPr="0093357A">
        <w:t>les</w:t>
      </w:r>
      <w:r w:rsidRPr="0093357A">
        <w:t>.</w:t>
      </w:r>
    </w:p>
    <w:p w14:paraId="52ED138A" w14:textId="77777777" w:rsidR="00C17F4A" w:rsidRDefault="00C17F4A" w:rsidP="00C17F4A"/>
    <w:p w14:paraId="139D6FCF" w14:textId="5DC7104F" w:rsidR="008846D6" w:rsidRPr="0093357A" w:rsidRDefault="00F154E7" w:rsidP="0084547F">
      <w:r w:rsidRPr="0093357A">
        <w:t>Additionally</w:t>
      </w:r>
      <w:r w:rsidR="0097197E" w:rsidRPr="0093357A">
        <w:t>,</w:t>
      </w:r>
      <w:r w:rsidRPr="0093357A">
        <w:t xml:space="preserve"> there are minimum initial investment requirements that vary by type of property</w:t>
      </w:r>
      <w:r w:rsidR="0093357A">
        <w:t xml:space="preserve"> </w:t>
      </w:r>
      <w:r w:rsidRPr="0093357A">
        <w:t>to meet the minimum down payment requirements of FAS 66.  Lending p</w:t>
      </w:r>
      <w:r w:rsidR="0097197E" w:rsidRPr="0093357A">
        <w:t>rofessionals</w:t>
      </w:r>
      <w:r w:rsidRPr="0093357A">
        <w:t xml:space="preserve"> should be</w:t>
      </w:r>
      <w:r w:rsidR="0093357A">
        <w:t xml:space="preserve"> </w:t>
      </w:r>
      <w:r w:rsidRPr="0093357A">
        <w:t xml:space="preserve">familiar with these and other requirements of FAS 66 and work closely with the </w:t>
      </w:r>
      <w:r w:rsidR="00AC3C72" w:rsidRPr="0093357A">
        <w:t>B</w:t>
      </w:r>
      <w:r w:rsidRPr="0093357A">
        <w:t xml:space="preserve">ank’s </w:t>
      </w:r>
      <w:r w:rsidR="0097197E" w:rsidRPr="0093357A">
        <w:t>F</w:t>
      </w:r>
      <w:r w:rsidRPr="0093357A">
        <w:t xml:space="preserve">inance </w:t>
      </w:r>
      <w:r w:rsidR="0097197E" w:rsidRPr="0093357A">
        <w:t>D</w:t>
      </w:r>
      <w:r w:rsidRPr="0093357A">
        <w:t>epartment as well as an external accounting firm to ensure that the sale</w:t>
      </w:r>
      <w:r w:rsidR="0084547F">
        <w:t xml:space="preserve"> </w:t>
      </w:r>
      <w:r w:rsidRPr="0093357A">
        <w:t xml:space="preserve">and financing are properly reflected in the </w:t>
      </w:r>
      <w:r w:rsidR="0097197E" w:rsidRPr="0093357A">
        <w:t>B</w:t>
      </w:r>
      <w:r w:rsidRPr="0093357A">
        <w:t>ank’s financial statements.</w:t>
      </w:r>
    </w:p>
    <w:p w14:paraId="6DCA50C5" w14:textId="52A04CBC" w:rsidR="008846D6" w:rsidRPr="0093357A" w:rsidRDefault="00F154E7" w:rsidP="0084547F">
      <w:pPr>
        <w:pStyle w:val="Heading2"/>
      </w:pPr>
      <w:r w:rsidRPr="0093357A">
        <w:t>4.</w:t>
      </w:r>
      <w:r w:rsidRPr="0093357A">
        <w:tab/>
      </w:r>
      <w:r w:rsidR="00D22B57" w:rsidRPr="0093357A">
        <w:t>Loan Modifications</w:t>
      </w:r>
      <w:r w:rsidR="00C81450" w:rsidRPr="0093357A">
        <w:t xml:space="preserve"> to Borrowers Experiencing Financial Difficulty</w:t>
      </w:r>
    </w:p>
    <w:p w14:paraId="25FCC01F" w14:textId="3463EA7E" w:rsidR="00383286" w:rsidRDefault="00592532" w:rsidP="0084547F">
      <w:r w:rsidRPr="0093357A">
        <w:t>In 2022 the traditional accounting for troubled debt restructurings was eliminated</w:t>
      </w:r>
      <w:r w:rsidR="005D622C" w:rsidRPr="0093357A">
        <w:t xml:space="preserve"> and replaced with enhanced tracking and disclosures on certain Loan Modifications</w:t>
      </w:r>
      <w:r w:rsidR="00FD184E" w:rsidRPr="0093357A">
        <w:t xml:space="preserve"> to borrowers experiencing financial </w:t>
      </w:r>
      <w:r w:rsidR="00773634" w:rsidRPr="0093357A">
        <w:t>difficulty, in</w:t>
      </w:r>
      <w:r w:rsidR="00F154E7" w:rsidRPr="0093357A">
        <w:t xml:space="preserve"> which the </w:t>
      </w:r>
      <w:proofErr w:type="gramStart"/>
      <w:r w:rsidR="00AC3C72" w:rsidRPr="0093357A">
        <w:t>B</w:t>
      </w:r>
      <w:r w:rsidR="00F154E7" w:rsidRPr="0093357A">
        <w:t xml:space="preserve">ank, </w:t>
      </w:r>
      <w:r w:rsidR="00063832" w:rsidRPr="0093357A">
        <w:t xml:space="preserve"> has</w:t>
      </w:r>
      <w:proofErr w:type="gramEnd"/>
      <w:r w:rsidR="00063832" w:rsidRPr="0093357A">
        <w:t xml:space="preserve"> agreed to forgive principal, reduce the interest rate or provided the borrower with an other than insignificant payment delay or term extension</w:t>
      </w:r>
      <w:r w:rsidR="00F154E7" w:rsidRPr="0093357A">
        <w:t xml:space="preserve">.  </w:t>
      </w:r>
      <w:r w:rsidR="00B22557" w:rsidRPr="0093357A">
        <w:t xml:space="preserve">The key </w:t>
      </w:r>
      <w:r w:rsidR="00B517E4" w:rsidRPr="0093357A">
        <w:t xml:space="preserve">  factor</w:t>
      </w:r>
      <w:r w:rsidR="00B22557" w:rsidRPr="0093357A">
        <w:t xml:space="preserve"> </w:t>
      </w:r>
      <w:r w:rsidR="00063832" w:rsidRPr="0093357A">
        <w:t>is</w:t>
      </w:r>
      <w:r w:rsidR="00B22557" w:rsidRPr="0093357A">
        <w:t xml:space="preserve"> whether the borrower </w:t>
      </w:r>
      <w:r w:rsidR="00EF344B" w:rsidRPr="0093357A">
        <w:t>i</w:t>
      </w:r>
      <w:r w:rsidR="00B22557" w:rsidRPr="0093357A">
        <w:t>s experiencing financial difficulty</w:t>
      </w:r>
      <w:r w:rsidR="00063832" w:rsidRPr="0093357A">
        <w:t>.</w:t>
      </w:r>
      <w:r w:rsidR="00B22557" w:rsidRPr="0093357A">
        <w:t xml:space="preserve">  </w:t>
      </w:r>
      <w:r w:rsidR="00383286" w:rsidRPr="0093357A">
        <w:t xml:space="preserve">In assessing </w:t>
      </w:r>
      <w:proofErr w:type="gramStart"/>
      <w:r w:rsidR="00383286" w:rsidRPr="0093357A">
        <w:t>whether or not</w:t>
      </w:r>
      <w:proofErr w:type="gramEnd"/>
      <w:r w:rsidR="00383286" w:rsidRPr="0093357A">
        <w:t xml:space="preserve"> a borrower is experiencing financial difficulties</w:t>
      </w:r>
      <w:r w:rsidR="00C81450" w:rsidRPr="0093357A">
        <w:t xml:space="preserve"> (generally indicated by a Substandard rating)</w:t>
      </w:r>
      <w:r w:rsidR="00383286" w:rsidRPr="0093357A">
        <w:t xml:space="preserve"> the bank will consider the following factors, which are not meant to be exhaustive:</w:t>
      </w:r>
    </w:p>
    <w:p w14:paraId="6F91F793" w14:textId="77777777" w:rsidR="00C17F4A" w:rsidRPr="0093357A" w:rsidRDefault="00C17F4A" w:rsidP="0084547F"/>
    <w:p w14:paraId="46FDFD81" w14:textId="146D4A5C" w:rsidR="00383286" w:rsidRPr="0093357A" w:rsidRDefault="00383286" w:rsidP="005C3BAF">
      <w:pPr>
        <w:pStyle w:val="ListParagraph"/>
        <w:numPr>
          <w:ilvl w:val="0"/>
          <w:numId w:val="14"/>
        </w:numPr>
      </w:pPr>
      <w:bookmarkStart w:id="0" w:name="_Hlk31285348"/>
      <w:r w:rsidRPr="0093357A">
        <w:t xml:space="preserve">Is the borrower currently in payment default on any of its debt or whether it is probable that the borrower would be in payment default on any of its debt in the foreseeable future without the proposed </w:t>
      </w:r>
      <w:proofErr w:type="gramStart"/>
      <w:r w:rsidRPr="0093357A">
        <w:t>modification;</w:t>
      </w:r>
      <w:proofErr w:type="gramEnd"/>
      <w:r w:rsidRPr="0093357A">
        <w:t xml:space="preserve">  </w:t>
      </w:r>
    </w:p>
    <w:p w14:paraId="18F3287D" w14:textId="77777777" w:rsidR="00383286" w:rsidRPr="0093357A" w:rsidRDefault="00383286" w:rsidP="005C3BAF">
      <w:pPr>
        <w:pStyle w:val="ListParagraph"/>
        <w:numPr>
          <w:ilvl w:val="0"/>
          <w:numId w:val="14"/>
        </w:numPr>
      </w:pPr>
      <w:r w:rsidRPr="0093357A">
        <w:t xml:space="preserve">The borrower has declared or is in the process of declaring </w:t>
      </w:r>
      <w:proofErr w:type="gramStart"/>
      <w:r w:rsidRPr="0093357A">
        <w:t>bankruptcy;</w:t>
      </w:r>
      <w:proofErr w:type="gramEnd"/>
    </w:p>
    <w:p w14:paraId="43650918" w14:textId="77777777" w:rsidR="00383286" w:rsidRPr="0093357A" w:rsidRDefault="00383286" w:rsidP="005C3BAF">
      <w:pPr>
        <w:pStyle w:val="ListParagraph"/>
        <w:numPr>
          <w:ilvl w:val="0"/>
          <w:numId w:val="14"/>
        </w:numPr>
      </w:pPr>
      <w:r w:rsidRPr="0093357A">
        <w:t xml:space="preserve">There is substantial doubt as to whether the borrower will continue to be a going </w:t>
      </w:r>
      <w:proofErr w:type="gramStart"/>
      <w:r w:rsidRPr="0093357A">
        <w:t>concern;</w:t>
      </w:r>
      <w:proofErr w:type="gramEnd"/>
    </w:p>
    <w:p w14:paraId="161AB4B7" w14:textId="77777777" w:rsidR="00383286" w:rsidRPr="0093357A" w:rsidRDefault="00383286" w:rsidP="005C3BAF">
      <w:pPr>
        <w:pStyle w:val="ListParagraph"/>
        <w:numPr>
          <w:ilvl w:val="0"/>
          <w:numId w:val="14"/>
        </w:numPr>
      </w:pPr>
      <w:r w:rsidRPr="0093357A">
        <w:t xml:space="preserve">The borrower has securities that have been delisted, are in the process of being delisted or are under threat of being delisted from an </w:t>
      </w:r>
      <w:proofErr w:type="gramStart"/>
      <w:r w:rsidRPr="0093357A">
        <w:t>exchange;</w:t>
      </w:r>
      <w:proofErr w:type="gramEnd"/>
    </w:p>
    <w:p w14:paraId="19937F8A" w14:textId="77777777" w:rsidR="00383286" w:rsidRPr="0093357A" w:rsidRDefault="00383286" w:rsidP="005C3BAF">
      <w:pPr>
        <w:pStyle w:val="ListParagraph"/>
        <w:numPr>
          <w:ilvl w:val="0"/>
          <w:numId w:val="14"/>
        </w:numPr>
      </w:pPr>
      <w:r w:rsidRPr="0093357A">
        <w:t xml:space="preserve">On the basis of estimates and projections that only encompass the borrower’s current capabilities, the bank forecasts that the borrower’s entity specific cash flows will be insufficient to service any of its debt (both P&amp;I) in accordance with the contractual terms of the existing agreement for the foreseeable </w:t>
      </w:r>
      <w:proofErr w:type="gramStart"/>
      <w:r w:rsidRPr="0093357A">
        <w:t>future;</w:t>
      </w:r>
      <w:proofErr w:type="gramEnd"/>
      <w:r w:rsidRPr="0093357A">
        <w:t xml:space="preserve"> </w:t>
      </w:r>
    </w:p>
    <w:p w14:paraId="4A90874E" w14:textId="7B9DD29A" w:rsidR="00383286" w:rsidRPr="0093357A" w:rsidRDefault="00383286" w:rsidP="005C3BAF">
      <w:pPr>
        <w:pStyle w:val="ListParagraph"/>
        <w:numPr>
          <w:ilvl w:val="0"/>
          <w:numId w:val="14"/>
        </w:numPr>
      </w:pPr>
      <w:r w:rsidRPr="0093357A">
        <w:t xml:space="preserve">Without the modification the borrower cannot obtain funds from sources other than existing creditors at an effective interest rate equal to the current market interest rate for similar debt for a nontroubled borrower.  </w:t>
      </w:r>
      <w:bookmarkEnd w:id="0"/>
    </w:p>
    <w:p w14:paraId="4B543A4D" w14:textId="77777777" w:rsidR="00C17F4A" w:rsidRDefault="00C17F4A" w:rsidP="0084547F"/>
    <w:p w14:paraId="05898EE1" w14:textId="4DD3A455" w:rsidR="00570189" w:rsidRPr="0093357A" w:rsidRDefault="00C64858" w:rsidP="0084547F">
      <w:r w:rsidRPr="0093357A">
        <w:t>T</w:t>
      </w:r>
      <w:r w:rsidR="005656E0" w:rsidRPr="0093357A">
        <w:t xml:space="preserve">he purpose of a </w:t>
      </w:r>
      <w:r w:rsidR="00322D0E" w:rsidRPr="0093357A">
        <w:t>Loan Modification</w:t>
      </w:r>
      <w:r w:rsidR="005656E0" w:rsidRPr="0093357A">
        <w:t xml:space="preserve"> is to enable the </w:t>
      </w:r>
      <w:r w:rsidR="0097197E" w:rsidRPr="0093357A">
        <w:t>B</w:t>
      </w:r>
      <w:r w:rsidR="005656E0" w:rsidRPr="0093357A">
        <w:t xml:space="preserve">ank to maximize recovery of the </w:t>
      </w:r>
      <w:r w:rsidR="00570189" w:rsidRPr="0093357A">
        <w:t>o</w:t>
      </w:r>
      <w:r w:rsidR="005656E0" w:rsidRPr="0093357A">
        <w:t xml:space="preserve">utstanding loan balances </w:t>
      </w:r>
      <w:r w:rsidR="00380714" w:rsidRPr="0093357A">
        <w:t>since</w:t>
      </w:r>
      <w:r w:rsidR="005656E0" w:rsidRPr="0093357A">
        <w:t xml:space="preserve"> the borrower </w:t>
      </w:r>
      <w:r w:rsidR="00423BDC" w:rsidRPr="0093357A">
        <w:t>is otherwise unable to pay off the debt in accordance with its original terms</w:t>
      </w:r>
      <w:r w:rsidR="00570189" w:rsidRPr="0093357A">
        <w:t xml:space="preserve">. Essentially, when evaluating a potential </w:t>
      </w:r>
      <w:r w:rsidR="00322D0E" w:rsidRPr="0093357A">
        <w:t>Loan Modification</w:t>
      </w:r>
      <w:r w:rsidR="00570189" w:rsidRPr="0093357A">
        <w:t xml:space="preserve">, the Bank must determine whether the cost of </w:t>
      </w:r>
      <w:r w:rsidR="00773634" w:rsidRPr="0093357A">
        <w:t>the modification</w:t>
      </w:r>
      <w:r w:rsidR="00570189" w:rsidRPr="0093357A">
        <w:t xml:space="preserve"> </w:t>
      </w:r>
      <w:r w:rsidR="008F3458" w:rsidRPr="0093357A">
        <w:t xml:space="preserve">and the probability </w:t>
      </w:r>
      <w:r w:rsidR="002F5DBF" w:rsidRPr="0093357A">
        <w:t xml:space="preserve">of </w:t>
      </w:r>
      <w:r w:rsidR="008F3458" w:rsidRPr="0093357A">
        <w:t xml:space="preserve">full principal repayment are a more compelling alternative </w:t>
      </w:r>
      <w:r w:rsidR="00570189" w:rsidRPr="0093357A">
        <w:t xml:space="preserve">than </w:t>
      </w:r>
      <w:r w:rsidR="002F5DBF" w:rsidRPr="0093357A">
        <w:t xml:space="preserve">pursuing </w:t>
      </w:r>
      <w:r w:rsidR="00570189" w:rsidRPr="0093357A">
        <w:t xml:space="preserve">the cost of foreclosure, litigation, or other collection activities against the borrower and guarantors.  </w:t>
      </w:r>
    </w:p>
    <w:p w14:paraId="093B0437" w14:textId="77777777" w:rsidR="00570189" w:rsidRPr="0093357A" w:rsidRDefault="00570189" w:rsidP="0084547F"/>
    <w:p w14:paraId="51AEC783" w14:textId="454223A2" w:rsidR="0097197E" w:rsidRPr="0093357A" w:rsidRDefault="00322D0E" w:rsidP="0084547F">
      <w:r w:rsidRPr="0093357A">
        <w:t>Loan Modifications</w:t>
      </w:r>
      <w:r w:rsidR="00423BDC" w:rsidRPr="0093357A">
        <w:t xml:space="preserve"> </w:t>
      </w:r>
      <w:r w:rsidR="00637C69" w:rsidRPr="0093357A">
        <w:t>may</w:t>
      </w:r>
      <w:r w:rsidR="00423BDC" w:rsidRPr="0093357A">
        <w:t xml:space="preserve"> take place</w:t>
      </w:r>
      <w:r w:rsidR="00637C69" w:rsidRPr="0093357A">
        <w:t xml:space="preserve"> for entity borrowers</w:t>
      </w:r>
      <w:r w:rsidR="00423BDC" w:rsidRPr="0093357A">
        <w:t xml:space="preserve"> following events of </w:t>
      </w:r>
      <w:r w:rsidR="00637C69" w:rsidRPr="0093357A">
        <w:t xml:space="preserve">covenant or payment </w:t>
      </w:r>
      <w:r w:rsidR="00423BDC" w:rsidRPr="0093357A">
        <w:t xml:space="preserve">default, </w:t>
      </w:r>
      <w:r w:rsidR="00637C69" w:rsidRPr="0093357A">
        <w:t xml:space="preserve">uncertainty or </w:t>
      </w:r>
      <w:r w:rsidR="00423BDC" w:rsidRPr="0093357A">
        <w:t>insufficien</w:t>
      </w:r>
      <w:r w:rsidR="00380714" w:rsidRPr="0093357A">
        <w:t>cy of</w:t>
      </w:r>
      <w:r w:rsidR="00423BDC" w:rsidRPr="0093357A">
        <w:t xml:space="preserve"> </w:t>
      </w:r>
      <w:r w:rsidR="00637C69" w:rsidRPr="0093357A">
        <w:t xml:space="preserve">business </w:t>
      </w:r>
      <w:r w:rsidR="00423BDC" w:rsidRPr="0093357A">
        <w:t>cash flow</w:t>
      </w:r>
      <w:r w:rsidR="00637C69" w:rsidRPr="0093357A">
        <w:t xml:space="preserve"> </w:t>
      </w:r>
      <w:r w:rsidR="00423BDC" w:rsidRPr="0093357A">
        <w:t xml:space="preserve">to service existing debt, or an inability by the borrower to obtain replacement </w:t>
      </w:r>
      <w:r w:rsidR="00380714" w:rsidRPr="0093357A">
        <w:t xml:space="preserve">market </w:t>
      </w:r>
      <w:r w:rsidR="00423BDC" w:rsidRPr="0093357A">
        <w:t>financing</w:t>
      </w:r>
      <w:r w:rsidR="00F46BFD" w:rsidRPr="0093357A">
        <w:t xml:space="preserve"> on similar terms.</w:t>
      </w:r>
      <w:r w:rsidR="00637C69" w:rsidRPr="0093357A">
        <w:t xml:space="preserve"> For individual borrow</w:t>
      </w:r>
      <w:r w:rsidR="002561EE" w:rsidRPr="0093357A">
        <w:t>er</w:t>
      </w:r>
      <w:r w:rsidR="00637C69" w:rsidRPr="0093357A">
        <w:t xml:space="preserve">s, triggering events for a </w:t>
      </w:r>
      <w:r w:rsidRPr="0093357A">
        <w:t>Loan Modification classification</w:t>
      </w:r>
      <w:r w:rsidR="00637C69" w:rsidRPr="0093357A">
        <w:t xml:space="preserve"> may include financial distress from loss</w:t>
      </w:r>
      <w:r w:rsidR="00570189" w:rsidRPr="0093357A">
        <w:t xml:space="preserve"> of employment</w:t>
      </w:r>
      <w:r w:rsidR="00637C69" w:rsidRPr="0093357A">
        <w:t xml:space="preserve">, medical issues, divorce, </w:t>
      </w:r>
      <w:r w:rsidR="004F0C2D" w:rsidRPr="0093357A">
        <w:t xml:space="preserve">unexpected catastrophic expenses </w:t>
      </w:r>
      <w:r w:rsidR="00E53422" w:rsidRPr="0093357A">
        <w:t>or “payment shock” resulting from the</w:t>
      </w:r>
      <w:r w:rsidR="004F0C2D" w:rsidRPr="0093357A">
        <w:t xml:space="preserve"> c</w:t>
      </w:r>
      <w:r w:rsidR="0087780B" w:rsidRPr="0093357A">
        <w:t xml:space="preserve">onversion of an </w:t>
      </w:r>
      <w:r w:rsidR="0097197E" w:rsidRPr="0093357A">
        <w:t>interest only</w:t>
      </w:r>
      <w:r w:rsidR="0087780B" w:rsidRPr="0093357A">
        <w:t xml:space="preserve"> loan to amortizing</w:t>
      </w:r>
      <w:r w:rsidR="00E53422" w:rsidRPr="0093357A">
        <w:t xml:space="preserve"> payments</w:t>
      </w:r>
      <w:r w:rsidR="000E6625" w:rsidRPr="0093357A">
        <w:t>.</w:t>
      </w:r>
      <w:r w:rsidR="0087780B" w:rsidRPr="0093357A">
        <w:t xml:space="preserve"> </w:t>
      </w:r>
      <w:r w:rsidR="00570189" w:rsidRPr="0093357A">
        <w:t xml:space="preserve"> </w:t>
      </w:r>
    </w:p>
    <w:p w14:paraId="3928C3E2" w14:textId="77777777" w:rsidR="0097197E" w:rsidRPr="0093357A" w:rsidRDefault="0097197E" w:rsidP="0084547F"/>
    <w:p w14:paraId="6BEF8007" w14:textId="4E02BDA2" w:rsidR="0097197E" w:rsidRPr="0093357A" w:rsidRDefault="00570189" w:rsidP="0084547F">
      <w:r w:rsidRPr="0093357A">
        <w:lastRenderedPageBreak/>
        <w:t xml:space="preserve">When reviewing a potential </w:t>
      </w:r>
      <w:r w:rsidR="00322D0E" w:rsidRPr="0093357A">
        <w:t>Loan Modification</w:t>
      </w:r>
      <w:r w:rsidR="002F5DBF" w:rsidRPr="0093357A">
        <w:t xml:space="preserve"> for an individual borrower,</w:t>
      </w:r>
      <w:r w:rsidRPr="0093357A">
        <w:t xml:space="preserve"> the Bank </w:t>
      </w:r>
      <w:r w:rsidR="00115BA1" w:rsidRPr="0093357A">
        <w:t>may</w:t>
      </w:r>
      <w:r w:rsidRPr="0093357A">
        <w:t xml:space="preserve"> </w:t>
      </w:r>
      <w:r w:rsidR="00A62EF3" w:rsidRPr="0093357A">
        <w:t>require</w:t>
      </w:r>
      <w:r w:rsidRPr="0093357A">
        <w:t xml:space="preserve"> </w:t>
      </w:r>
      <w:r w:rsidR="00A62EF3" w:rsidRPr="0093357A">
        <w:t xml:space="preserve">an Affidavit of Hardship </w:t>
      </w:r>
      <w:r w:rsidR="00195E5F" w:rsidRPr="0093357A">
        <w:t xml:space="preserve">and </w:t>
      </w:r>
      <w:r w:rsidRPr="0093357A">
        <w:t>pertinent information from the borrower and any guarantors to substantiate all sources of income</w:t>
      </w:r>
      <w:r w:rsidR="00195E5F" w:rsidRPr="0093357A">
        <w:t>,</w:t>
      </w:r>
      <w:r w:rsidRPr="0093357A">
        <w:t xml:space="preserve"> other assets that could be used to support or reduce the loan</w:t>
      </w:r>
      <w:r w:rsidR="00195E5F" w:rsidRPr="0093357A">
        <w:t>, as well as other debt obligations and expenses</w:t>
      </w:r>
      <w:r w:rsidRPr="0093357A">
        <w:t xml:space="preserve">.  </w:t>
      </w:r>
    </w:p>
    <w:p w14:paraId="5E0F7EF5" w14:textId="77777777" w:rsidR="0097197E" w:rsidRPr="0093357A" w:rsidRDefault="0097197E" w:rsidP="0084547F"/>
    <w:p w14:paraId="138664EF" w14:textId="44976B84" w:rsidR="008846D6" w:rsidRPr="0093357A" w:rsidRDefault="002F5DBF" w:rsidP="0084547F">
      <w:r w:rsidRPr="0093357A">
        <w:t xml:space="preserve">When reviewing potential commercial </w:t>
      </w:r>
      <w:r w:rsidR="00322D0E" w:rsidRPr="0093357A">
        <w:t>L</w:t>
      </w:r>
      <w:r w:rsidRPr="0093357A">
        <w:t xml:space="preserve">oan </w:t>
      </w:r>
      <w:r w:rsidR="00322D0E" w:rsidRPr="0093357A">
        <w:t>Modifications</w:t>
      </w:r>
      <w:r w:rsidRPr="0093357A">
        <w:t xml:space="preserve">, the </w:t>
      </w:r>
      <w:r w:rsidR="002729CC" w:rsidRPr="0093357A">
        <w:t>B</w:t>
      </w:r>
      <w:r w:rsidRPr="0093357A">
        <w:t>ank should evaluate current financial statements</w:t>
      </w:r>
      <w:r w:rsidR="005F3368" w:rsidRPr="0093357A">
        <w:t xml:space="preserve"> and/or tax returns</w:t>
      </w:r>
      <w:r w:rsidRPr="0093357A">
        <w:t xml:space="preserve"> for the borrower and any guarantor</w:t>
      </w:r>
      <w:r w:rsidR="005F3368" w:rsidRPr="0093357A">
        <w:t xml:space="preserve">s.  </w:t>
      </w:r>
      <w:r w:rsidR="00570189" w:rsidRPr="0093357A">
        <w:t xml:space="preserve">The Bank must also determine that the cause of the financial hardship is temporary and that there is a realistic plan or ability by the borrower to service the modified debt structure. </w:t>
      </w:r>
    </w:p>
    <w:p w14:paraId="25DAD5D4" w14:textId="77777777" w:rsidR="008846D6" w:rsidRPr="0093357A" w:rsidRDefault="008846D6" w:rsidP="0084547F"/>
    <w:p w14:paraId="0310466B" w14:textId="442B90CE" w:rsidR="002729CC" w:rsidRPr="0093357A" w:rsidRDefault="008D22FD" w:rsidP="0084547F">
      <w:r w:rsidRPr="0093357A">
        <w:t xml:space="preserve">A credit that is put into a Loan Modification will be evaluated for collateral dependent status and for interest rate classification under CECL.  Individual impairments are no longer mandated.  Loans placed in modification status </w:t>
      </w:r>
      <w:r w:rsidR="00FD322E" w:rsidRPr="0093357A">
        <w:t xml:space="preserve">on the loan system </w:t>
      </w:r>
      <w:r w:rsidRPr="0093357A">
        <w:t xml:space="preserve">will not be required to carry a “1” after the risk rating (ex. 701, 601).  The </w:t>
      </w:r>
      <w:proofErr w:type="gramStart"/>
      <w:r w:rsidRPr="0093357A">
        <w:t>801 risk</w:t>
      </w:r>
      <w:proofErr w:type="gramEnd"/>
      <w:r w:rsidRPr="0093357A">
        <w:t xml:space="preserve"> rating will be the only rating with a “1” which will designate non-accrual status only. </w:t>
      </w:r>
    </w:p>
    <w:p w14:paraId="10AC1CE9" w14:textId="77777777" w:rsidR="00DB091A" w:rsidRDefault="00DB091A" w:rsidP="0084547F"/>
    <w:p w14:paraId="470EF317" w14:textId="44F89D02" w:rsidR="008D22FD" w:rsidRPr="0093357A" w:rsidRDefault="009D30AE" w:rsidP="0084547F">
      <w:r w:rsidRPr="0093357A">
        <w:t>For any loans that have been split into A</w:t>
      </w:r>
      <w:r w:rsidR="00195E5F" w:rsidRPr="0093357A">
        <w:t xml:space="preserve"> </w:t>
      </w:r>
      <w:r w:rsidR="002729CC" w:rsidRPr="0093357A">
        <w:t>and</w:t>
      </w:r>
      <w:r w:rsidR="00195E5F" w:rsidRPr="0093357A">
        <w:t xml:space="preserve"> </w:t>
      </w:r>
      <w:r w:rsidRPr="0093357A">
        <w:t>B notes</w:t>
      </w:r>
      <w:r w:rsidR="002729CC" w:rsidRPr="0093357A">
        <w:t>,</w:t>
      </w:r>
      <w:r w:rsidRPr="0093357A">
        <w:t xml:space="preserve"> whe</w:t>
      </w:r>
      <w:r w:rsidR="004B149D" w:rsidRPr="0093357A">
        <w:t>re the</w:t>
      </w:r>
      <w:r w:rsidRPr="0093357A">
        <w:t xml:space="preserve"> B note has been charged off, the A note may be upgrade</w:t>
      </w:r>
      <w:r w:rsidR="004B149D" w:rsidRPr="0093357A">
        <w:t>d</w:t>
      </w:r>
      <w:r w:rsidRPr="0093357A">
        <w:t xml:space="preserve"> to a pass credit (e</w:t>
      </w:r>
      <w:r w:rsidR="00637C69" w:rsidRPr="0093357A">
        <w:t>.</w:t>
      </w:r>
      <w:r w:rsidRPr="0093357A">
        <w:t xml:space="preserve">g. </w:t>
      </w:r>
      <w:r w:rsidR="005F3368" w:rsidRPr="0093357A">
        <w:t>Borderline</w:t>
      </w:r>
      <w:r w:rsidRPr="0093357A">
        <w:t xml:space="preserve">) </w:t>
      </w:r>
      <w:proofErr w:type="gramStart"/>
      <w:r w:rsidR="002729CC" w:rsidRPr="0093357A">
        <w:t>as</w:t>
      </w:r>
      <w:r w:rsidRPr="0093357A">
        <w:t xml:space="preserve"> long as</w:t>
      </w:r>
      <w:proofErr w:type="gramEnd"/>
      <w:r w:rsidRPr="0093357A">
        <w:t xml:space="preserve"> </w:t>
      </w:r>
      <w:r w:rsidR="00637C69" w:rsidRPr="0093357A">
        <w:t xml:space="preserve">the </w:t>
      </w:r>
      <w:r w:rsidRPr="0093357A">
        <w:t xml:space="preserve">ultimate collectability of the loan is </w:t>
      </w:r>
      <w:r w:rsidR="00637C69" w:rsidRPr="0093357A">
        <w:t xml:space="preserve">reasonably </w:t>
      </w:r>
      <w:r w:rsidR="00773634" w:rsidRPr="0093357A">
        <w:t>assured,</w:t>
      </w:r>
      <w:r w:rsidRPr="0093357A">
        <w:t xml:space="preserve"> and the borrower has been </w:t>
      </w:r>
      <w:r w:rsidR="00637C69" w:rsidRPr="0093357A">
        <w:t xml:space="preserve">compliant with </w:t>
      </w:r>
      <w:r w:rsidRPr="0093357A">
        <w:t xml:space="preserve">the modified </w:t>
      </w:r>
      <w:r w:rsidR="00637C69" w:rsidRPr="0093357A">
        <w:t xml:space="preserve">contractual </w:t>
      </w:r>
      <w:r w:rsidRPr="0093357A">
        <w:t xml:space="preserve">debt </w:t>
      </w:r>
      <w:r w:rsidR="00637C69" w:rsidRPr="0093357A">
        <w:t xml:space="preserve">repayment </w:t>
      </w:r>
      <w:r w:rsidRPr="0093357A">
        <w:t>terms for at least six mo</w:t>
      </w:r>
      <w:r w:rsidR="00380714" w:rsidRPr="0093357A">
        <w:t>nths</w:t>
      </w:r>
      <w:r w:rsidR="00637C69" w:rsidRPr="0093357A">
        <w:t>.</w:t>
      </w:r>
      <w:r w:rsidR="00A07B47" w:rsidRPr="0093357A">
        <w:t xml:space="preserve"> </w:t>
      </w:r>
    </w:p>
    <w:p w14:paraId="3E0513EC" w14:textId="38BD3FBD" w:rsidR="00BC3DDE" w:rsidRPr="0093357A" w:rsidRDefault="005D7D74" w:rsidP="0084547F">
      <w:pPr>
        <w:pStyle w:val="Heading2"/>
      </w:pPr>
      <w:r w:rsidRPr="0093357A">
        <w:t>5.</w:t>
      </w:r>
      <w:r w:rsidR="00104C06" w:rsidRPr="0093357A">
        <w:t xml:space="preserve">  </w:t>
      </w:r>
      <w:r w:rsidR="00BC3DDE" w:rsidRPr="0093357A">
        <w:t>Note Sales</w:t>
      </w:r>
    </w:p>
    <w:p w14:paraId="3D620895" w14:textId="0DBAA435" w:rsidR="005D7D74" w:rsidRPr="0093357A" w:rsidRDefault="005D7D74" w:rsidP="0084547F">
      <w:r w:rsidRPr="0093357A">
        <w:t xml:space="preserve">Certain problem loan situations may warrant consideration of a sale of the note at par or a discount to a </w:t>
      </w:r>
      <w:r w:rsidR="00032A95" w:rsidRPr="0093357A">
        <w:t>third-party</w:t>
      </w:r>
      <w:r w:rsidRPr="0093357A">
        <w:t xml:space="preserve"> investor.  If a determination is made to solicit pricing from potential note sale investors it is the responsibility of the Special Assets Officer assigned to the </w:t>
      </w:r>
      <w:r w:rsidR="003867E9" w:rsidRPr="0093357A">
        <w:t>loan t</w:t>
      </w:r>
      <w:r w:rsidRPr="0093357A">
        <w:t xml:space="preserve">o ensure that investors execute the Bank’s standard confidentiality agreement.  Any changes to the standard confidentiality agreement must be approved by Bank counsel.  The Special Assets Officer will work with Bank IT personnel to create secure drop boxes for investors to view pertinent data needed to make initial pricing offers on a loan.  </w:t>
      </w:r>
      <w:r w:rsidR="002E63B2" w:rsidRPr="0093357A">
        <w:t>If a determination is made to accept a note sale</w:t>
      </w:r>
      <w:r w:rsidR="00F41B3E" w:rsidRPr="0093357A">
        <w:t xml:space="preserve"> offer from an investor a formal credit approval must be prepared and signed by the appropriate approval authorities.  </w:t>
      </w:r>
      <w:r w:rsidR="009E12DB" w:rsidRPr="0093357A">
        <w:t xml:space="preserve"> Special Assets will work closely with the Finance and or Accounting Department to determine when the loan or loans should be classified as held for sale</w:t>
      </w:r>
      <w:r w:rsidR="00F41B3E" w:rsidRPr="0093357A">
        <w:t>.   All legal documents needed to complete a sale to a note investor shall be prepared by approved Bank counsel.</w:t>
      </w:r>
    </w:p>
    <w:p w14:paraId="74C23CDE" w14:textId="60E73739" w:rsidR="00104C06" w:rsidRPr="0093357A" w:rsidRDefault="00104C06" w:rsidP="0084547F">
      <w:pPr>
        <w:pStyle w:val="Heading2"/>
      </w:pPr>
      <w:r w:rsidRPr="0093357A">
        <w:t>6. Initiating Litigation</w:t>
      </w:r>
    </w:p>
    <w:p w14:paraId="31DFCDFF" w14:textId="63D106A7" w:rsidR="003226B6" w:rsidRPr="0093357A" w:rsidRDefault="00104C06" w:rsidP="0084547F">
      <w:r w:rsidRPr="0093357A">
        <w:t xml:space="preserve">In </w:t>
      </w:r>
      <w:r w:rsidR="00037075" w:rsidRPr="0093357A">
        <w:t xml:space="preserve">commercial </w:t>
      </w:r>
      <w:r w:rsidRPr="0093357A">
        <w:t>problem loan situations</w:t>
      </w:r>
      <w:r w:rsidR="00037075" w:rsidRPr="0093357A">
        <w:t>, for exposures of $500,000 or greater,</w:t>
      </w:r>
      <w:r w:rsidRPr="0093357A">
        <w:t xml:space="preserve"> where litigation is contemplated against the borrower and or guarantors, the Special Assets </w:t>
      </w:r>
      <w:r w:rsidR="0055518A" w:rsidRPr="0093357A">
        <w:t>Manager</w:t>
      </w:r>
      <w:r w:rsidRPr="0093357A">
        <w:t xml:space="preserve"> shall consult with the Chief Credit Officer, General Counsel and any other appropriate members of the deal team and Executive Management of the Bank</w:t>
      </w:r>
      <w:r w:rsidR="00D44FCD" w:rsidRPr="0093357A">
        <w:t>,</w:t>
      </w:r>
      <w:r w:rsidRPr="0093357A">
        <w:t xml:space="preserve"> prior to authorizing counsel to file the necessary complaints.  The law firm assigned to file the suit on behalf of the Bank must be from the Bank’s appr</w:t>
      </w:r>
      <w:r w:rsidR="00A661BA" w:rsidRPr="0093357A">
        <w:t>oved list.  In litigation where foreclosure of real property is sought, the Special Assets Officer must ensure</w:t>
      </w:r>
      <w:r w:rsidR="005612F6" w:rsidRPr="0093357A">
        <w:t>, if necessary,</w:t>
      </w:r>
      <w:r w:rsidR="00A661BA" w:rsidRPr="0093357A">
        <w:t xml:space="preserve"> that a current appraisal and a Phase I environmental report</w:t>
      </w:r>
      <w:r w:rsidR="00D44FCD" w:rsidRPr="0093357A">
        <w:t xml:space="preserve"> </w:t>
      </w:r>
      <w:r w:rsidR="00D22E98" w:rsidRPr="0093357A">
        <w:t>are</w:t>
      </w:r>
      <w:r w:rsidR="00D44FCD" w:rsidRPr="0093357A">
        <w:t xml:space="preserve"> on</w:t>
      </w:r>
      <w:r w:rsidR="00A661BA" w:rsidRPr="0093357A">
        <w:t>.</w:t>
      </w:r>
    </w:p>
    <w:p w14:paraId="63EC83B8" w14:textId="77777777" w:rsidR="003226B6" w:rsidRPr="0093357A" w:rsidRDefault="003226B6" w:rsidP="0084547F"/>
    <w:p w14:paraId="03B07FCA" w14:textId="64F92476" w:rsidR="005D7D74" w:rsidRPr="0093357A" w:rsidRDefault="003226B6" w:rsidP="0084547F">
      <w:r w:rsidRPr="0093357A">
        <w:t xml:space="preserve">Some cases may require outside counsel even if litigation is unnecessary or not anticipated. In these </w:t>
      </w:r>
      <w:r w:rsidR="00503B96" w:rsidRPr="0093357A">
        <w:t>instances,</w:t>
      </w:r>
      <w:r w:rsidRPr="0093357A">
        <w:t xml:space="preserve"> Special Assets will consult with bank in-house counsel on selection of the appropriate firm. </w:t>
      </w:r>
      <w:r w:rsidR="006671B2" w:rsidRPr="0093357A">
        <w:t>The Special Assets Officer assigned to the case will work with counsel to review loan documents, order lien searches or any other standard due diligence needed to asses</w:t>
      </w:r>
      <w:r w:rsidR="006F34C2" w:rsidRPr="0093357A">
        <w:t>s</w:t>
      </w:r>
      <w:r w:rsidR="006671B2" w:rsidRPr="0093357A">
        <w:t xml:space="preserve"> the case. </w:t>
      </w:r>
    </w:p>
    <w:p w14:paraId="3EEF459C" w14:textId="636FF9E6" w:rsidR="008B54F7" w:rsidRPr="0084547F" w:rsidRDefault="008B54F7" w:rsidP="0084547F">
      <w:pPr>
        <w:pStyle w:val="Heading2"/>
      </w:pPr>
      <w:r w:rsidRPr="0084547F">
        <w:lastRenderedPageBreak/>
        <w:t>7. Annual Reviews for Loans Managed in Special Assets</w:t>
      </w:r>
    </w:p>
    <w:p w14:paraId="7C4E5519" w14:textId="6EEB5A28" w:rsidR="008B54F7" w:rsidRPr="0093357A" w:rsidRDefault="008B54F7" w:rsidP="0084547F">
      <w:r w:rsidRPr="0093357A">
        <w:t xml:space="preserve">All commercial loans managed in Special Assets with exposures greater than $250,000 must have an annual review completed.  In some workout situations borrowers may not fully cooperate in providing all reporting required under the loan documents.  It is sufficient in these cases that the annual review be completed using the most recent and best available financial information.  In these situations, emphasis should be placed on the current strategy to resolve the credit.  Annual reviews for credits in the workout portfolio may be submitted using the most recent watch list form completed for the credit rather than the standard underwriting templates.  For larger commercial credits, that are on quarterly reporting cycles, the most recent watch list form can also be used to complete the quarterly review.  The watch list form must include the quarterly statements in the financial spread section of the form.  </w:t>
      </w:r>
    </w:p>
    <w:p w14:paraId="2B30C0A9" w14:textId="7FA67854" w:rsidR="007C37B5" w:rsidRDefault="007C37B5" w:rsidP="0084547F">
      <w:pPr>
        <w:pStyle w:val="Heading2"/>
      </w:pPr>
      <w:r w:rsidRPr="0093357A">
        <w:t>8.Protective Advances</w:t>
      </w:r>
    </w:p>
    <w:p w14:paraId="75F4595B" w14:textId="5C6EA09A" w:rsidR="00464621" w:rsidRPr="0093357A" w:rsidRDefault="00464621" w:rsidP="0084547F">
      <w:r w:rsidRPr="0093357A">
        <w:t xml:space="preserve">In certain circumstances the Bank may need to advance funds to protect our interests in the collateral pledged for a loan. Prior to any advance, an Officer’s review of the loan documents as well as a consultation with an external or in-house counsel will verify that the loan documents are specific to the ‘Protective Advance’.  This will ensure that the advance is permitted and enforceable by the collateral pledged.  </w:t>
      </w:r>
    </w:p>
    <w:p w14:paraId="1B141847" w14:textId="77777777" w:rsidR="00464621" w:rsidRPr="0093357A" w:rsidRDefault="00464621" w:rsidP="0084547F"/>
    <w:p w14:paraId="6B39AD61" w14:textId="5CB727BA" w:rsidR="00464621" w:rsidRPr="0093357A" w:rsidRDefault="00464621" w:rsidP="0084547F">
      <w:r w:rsidRPr="0093357A">
        <w:t xml:space="preserve">Situations may require protective advances beyond real estate taxes; in these cases, the Special Assets Officer will issue an approval memo, signed by the appropriate approval authorities requesting these funds. </w:t>
      </w:r>
      <w:r w:rsidR="00D22E98" w:rsidRPr="0093357A">
        <w:t xml:space="preserve">The </w:t>
      </w:r>
      <w:r w:rsidRPr="0093357A">
        <w:t xml:space="preserve">Special Assets Officer </w:t>
      </w:r>
      <w:proofErr w:type="gramStart"/>
      <w:r w:rsidRPr="0093357A">
        <w:t>will  coordinate</w:t>
      </w:r>
      <w:proofErr w:type="gramEnd"/>
      <w:r w:rsidRPr="0093357A">
        <w:t xml:space="preserve"> with </w:t>
      </w:r>
      <w:r w:rsidR="00D22E98" w:rsidRPr="0093357A">
        <w:t>L</w:t>
      </w:r>
      <w:r w:rsidRPr="0093357A">
        <w:t xml:space="preserve">oan </w:t>
      </w:r>
      <w:r w:rsidR="00D22E98" w:rsidRPr="0093357A">
        <w:t>O</w:t>
      </w:r>
      <w:r w:rsidRPr="0093357A">
        <w:t xml:space="preserve">perations and </w:t>
      </w:r>
      <w:r w:rsidR="00D22E98" w:rsidRPr="0093357A">
        <w:t>F</w:t>
      </w:r>
      <w:r w:rsidRPr="0093357A">
        <w:t>inance to ensure any advances made are properly reflected on the loan system and have the supporting documentation in file.</w:t>
      </w:r>
    </w:p>
    <w:p w14:paraId="3A14EE4C" w14:textId="6CF41795" w:rsidR="00464621" w:rsidRPr="0093357A" w:rsidRDefault="00464621" w:rsidP="0084547F">
      <w:r w:rsidRPr="0093357A">
        <w:t xml:space="preserve">  </w:t>
      </w:r>
    </w:p>
    <w:p w14:paraId="5006A55C" w14:textId="02AA32AD" w:rsidR="0093357A" w:rsidRDefault="00464621" w:rsidP="0084547F">
      <w:r w:rsidRPr="0093357A">
        <w:t>Advances may include payment of real estate taxes, essential maintenance costs and other critical or required expenses. The Special Assets Officer will coordinate with the Bank’s escrow department to determine the amount of the tax advance and will issue an email approval to have the funds paid directly to the taxing authority.  The Finance Group and Special Assets will periodically determine if any negative real estate escrow or other advances should be charged off.</w:t>
      </w:r>
    </w:p>
    <w:p w14:paraId="15F171BA" w14:textId="0E96EAF7" w:rsidR="00A8515C" w:rsidRDefault="00322D0E" w:rsidP="0084547F">
      <w:pPr>
        <w:pStyle w:val="Heading2"/>
      </w:pPr>
      <w:r w:rsidRPr="0084547F">
        <w:t>9. Collateral Dependent Loans and Interest Rate Concessions</w:t>
      </w:r>
    </w:p>
    <w:p w14:paraId="6F18DA14" w14:textId="3E5213DD" w:rsidR="00CA39D7" w:rsidRPr="0084547F" w:rsidRDefault="00322D0E" w:rsidP="0084547F">
      <w:r w:rsidRPr="0084547F">
        <w:t xml:space="preserve">The Special Assets Department will be responsible for analyzing and recommending loans for collateral dependent status under the new CECL guidelines.  </w:t>
      </w:r>
      <w:r w:rsidR="00B07360" w:rsidRPr="0084547F">
        <w:t>In determining whether a loan should be classified as collateral dependent Special Assets will look at w</w:t>
      </w:r>
      <w:r w:rsidR="005E7FD9" w:rsidRPr="0084547F">
        <w:t>h</w:t>
      </w:r>
      <w:r w:rsidR="00B07360" w:rsidRPr="0084547F">
        <w:t xml:space="preserve">ether </w:t>
      </w:r>
      <w:r w:rsidR="005E7FD9" w:rsidRPr="0084547F">
        <w:t>(</w:t>
      </w:r>
      <w:proofErr w:type="spellStart"/>
      <w:r w:rsidR="005E7FD9" w:rsidRPr="0084547F">
        <w:t>i</w:t>
      </w:r>
      <w:proofErr w:type="spellEnd"/>
      <w:r w:rsidR="005E7FD9" w:rsidRPr="0084547F">
        <w:t xml:space="preserve">) a </w:t>
      </w:r>
      <w:r w:rsidR="00B07360" w:rsidRPr="0084547F">
        <w:t xml:space="preserve">foreclosure action </w:t>
      </w:r>
      <w:r w:rsidR="005E7FD9" w:rsidRPr="0084547F">
        <w:t>h</w:t>
      </w:r>
      <w:r w:rsidR="00B07360" w:rsidRPr="0084547F">
        <w:t>as been filed</w:t>
      </w:r>
      <w:r w:rsidR="005E7FD9" w:rsidRPr="0084547F">
        <w:t xml:space="preserve"> or</w:t>
      </w:r>
      <w:r w:rsidR="00B07360" w:rsidRPr="0084547F">
        <w:t xml:space="preserve"> if it is probable a foreclosure will occur</w:t>
      </w:r>
      <w:r w:rsidR="005E7FD9" w:rsidRPr="0084547F">
        <w:t xml:space="preserve"> and (ii)</w:t>
      </w:r>
      <w:r w:rsidR="005E7FD9" w:rsidRPr="0084547F">
        <w:rPr>
          <w:b/>
          <w:i/>
          <w:iCs/>
          <w:u w:val="single"/>
        </w:rPr>
        <w:t xml:space="preserve"> </w:t>
      </w:r>
      <w:r w:rsidR="005E7FD9" w:rsidRPr="0084547F">
        <w:rPr>
          <w:i/>
          <w:iCs/>
        </w:rPr>
        <w:t>the Practical Expedient.</w:t>
      </w:r>
      <w:r w:rsidR="005E7FD9" w:rsidRPr="0084547F">
        <w:t xml:space="preserve"> If the Practical Expedient rationale is relied upon for Collateral Dependent status </w:t>
      </w:r>
      <w:proofErr w:type="gramStart"/>
      <w:r w:rsidR="005E7FD9" w:rsidRPr="0084547F">
        <w:t>classification</w:t>
      </w:r>
      <w:proofErr w:type="gramEnd"/>
      <w:r w:rsidR="005E7FD9" w:rsidRPr="0084547F">
        <w:t xml:space="preserve"> it must be demonstrated that (</w:t>
      </w:r>
      <w:proofErr w:type="spellStart"/>
      <w:r w:rsidR="005E7FD9" w:rsidRPr="0084547F">
        <w:t>i</w:t>
      </w:r>
      <w:proofErr w:type="spellEnd"/>
      <w:r w:rsidR="005E7FD9" w:rsidRPr="0084547F">
        <w:t xml:space="preserve">) the borrower is experiencing financial difficulties and (ii) repayment of the loan must be substantially provided through the operation or sale of the collateral.  </w:t>
      </w:r>
      <w:r w:rsidR="00C81450" w:rsidRPr="0084547F">
        <w:t>A</w:t>
      </w:r>
      <w:r w:rsidR="00CA39D7" w:rsidRPr="0084547F">
        <w:t>ll loans classified as collateral dependent will be listed on the Bank’s master collateral dependent list and will be reviewed quarterly with the Chief Credit Officer and Finance Team.  The Special Assets Team is responsible for updat</w:t>
      </w:r>
      <w:r w:rsidR="003C590A" w:rsidRPr="0084547F">
        <w:t>ing</w:t>
      </w:r>
      <w:r w:rsidR="00CA39D7" w:rsidRPr="0084547F">
        <w:t xml:space="preserve"> the </w:t>
      </w:r>
      <w:r w:rsidR="003C590A" w:rsidRPr="0084547F">
        <w:t xml:space="preserve">quarterly </w:t>
      </w:r>
      <w:r w:rsidR="00CA39D7" w:rsidRPr="0084547F">
        <w:t xml:space="preserve">commentary on all collateral dependent loans and loans where interest rate </w:t>
      </w:r>
      <w:r w:rsidR="00DE3548" w:rsidRPr="0084547F">
        <w:t>concessions</w:t>
      </w:r>
      <w:r w:rsidR="00CA39D7" w:rsidRPr="0084547F">
        <w:t xml:space="preserve"> have been granted. </w:t>
      </w:r>
      <w:r w:rsidR="005E7FD9" w:rsidRPr="0084547F">
        <w:t xml:space="preserve"> </w:t>
      </w:r>
      <w:r w:rsidR="00455F08" w:rsidRPr="0084547F">
        <w:t xml:space="preserve">Please </w:t>
      </w:r>
      <w:r w:rsidR="00DE3548" w:rsidRPr="0084547F">
        <w:t>refer</w:t>
      </w:r>
      <w:r w:rsidR="00455F08" w:rsidRPr="0084547F">
        <w:t xml:space="preserve"> to the procedure for collateral dependent and interest rate concessions </w:t>
      </w:r>
      <w:r w:rsidR="00FD322E" w:rsidRPr="0084547F">
        <w:t xml:space="preserve">loans </w:t>
      </w:r>
      <w:r w:rsidR="00455F08" w:rsidRPr="0084547F">
        <w:t xml:space="preserve">for </w:t>
      </w:r>
      <w:proofErr w:type="gramStart"/>
      <w:r w:rsidR="00455F08" w:rsidRPr="0084547F">
        <w:t>step by step</w:t>
      </w:r>
      <w:proofErr w:type="gramEnd"/>
      <w:r w:rsidR="00455F08" w:rsidRPr="0084547F">
        <w:t xml:space="preserve"> process on handling these classifications. </w:t>
      </w:r>
    </w:p>
    <w:p w14:paraId="62D81666" w14:textId="346A5A59" w:rsidR="00464621" w:rsidRPr="0093357A" w:rsidRDefault="00B07360" w:rsidP="0084547F">
      <w:r w:rsidRPr="0093357A">
        <w:t xml:space="preserve">  </w:t>
      </w:r>
    </w:p>
    <w:p w14:paraId="32548098" w14:textId="77777777" w:rsidR="00464621" w:rsidRPr="0093357A" w:rsidRDefault="00464621" w:rsidP="0084547F"/>
    <w:p w14:paraId="24FECDCF" w14:textId="54E7C2BC" w:rsidR="00AF540B" w:rsidRPr="0093357A" w:rsidRDefault="00AF540B" w:rsidP="0084547F">
      <w:r w:rsidRPr="0093357A">
        <w:br w:type="page"/>
      </w:r>
    </w:p>
    <w:p w14:paraId="4F90DC8E" w14:textId="1AE056C6" w:rsidR="0064725D" w:rsidRPr="0093357A" w:rsidRDefault="00065CCA" w:rsidP="0084547F">
      <w:pPr>
        <w:pStyle w:val="Heading1"/>
      </w:pPr>
      <w:r w:rsidRPr="0093357A">
        <w:lastRenderedPageBreak/>
        <w:t>Policy Changes</w:t>
      </w:r>
    </w:p>
    <w:p w14:paraId="19A57CD6" w14:textId="464AA495" w:rsidR="002818D3" w:rsidRPr="0093357A" w:rsidRDefault="002818D3" w:rsidP="0084547F">
      <w:bookmarkStart w:id="1" w:name="_Toc289787286"/>
      <w:r w:rsidRPr="0093357A">
        <w:t>This policy may be submitted to the Board of Directors (the “Board of Directors”), the Board of Directors of the Executive Committee of the Board (collectively, the “Board”) or the Board Risk Committee (“BRC”) for approval every 18 months.</w:t>
      </w:r>
    </w:p>
    <w:p w14:paraId="7CB2E67F" w14:textId="77777777" w:rsidR="002818D3" w:rsidRPr="0093357A" w:rsidRDefault="002818D3" w:rsidP="0084547F"/>
    <w:p w14:paraId="76417E49" w14:textId="558DC94B" w:rsidR="002818D3" w:rsidRPr="0093357A" w:rsidRDefault="002818D3" w:rsidP="0084547F">
      <w:pPr>
        <w:rPr>
          <w:szCs w:val="24"/>
        </w:rPr>
      </w:pPr>
      <w:r w:rsidRPr="0093357A">
        <w:t xml:space="preserve">Interim </w:t>
      </w:r>
      <w:r w:rsidRPr="0093357A">
        <w:rPr>
          <w:szCs w:val="24"/>
        </w:rPr>
        <w:t>Policy</w:t>
      </w:r>
      <w:r w:rsidRPr="0093357A">
        <w:t xml:space="preserve"> changes may be enacted with the approval of </w:t>
      </w:r>
      <w:r w:rsidRPr="0093357A">
        <w:rPr>
          <w:szCs w:val="24"/>
        </w:rPr>
        <w:t>any</w:t>
      </w:r>
      <w:r w:rsidRPr="0093357A">
        <w:t xml:space="preserve"> Policy Making Officer of the Bank</w:t>
      </w:r>
      <w:r w:rsidRPr="0093357A">
        <w:rPr>
          <w:szCs w:val="24"/>
        </w:rPr>
        <w:t xml:space="preserve"> without the immediate approval of the Board or BRC.</w:t>
      </w:r>
      <w:r w:rsidRPr="0093357A">
        <w:t xml:space="preserve">  Interim policy changes </w:t>
      </w:r>
      <w:r w:rsidRPr="0093357A">
        <w:rPr>
          <w:szCs w:val="24"/>
        </w:rPr>
        <w:t xml:space="preserve">may </w:t>
      </w:r>
      <w:r w:rsidRPr="0093357A">
        <w:t>include</w:t>
      </w:r>
      <w:r w:rsidRPr="0093357A">
        <w:rPr>
          <w:szCs w:val="24"/>
        </w:rPr>
        <w:t>:</w:t>
      </w:r>
    </w:p>
    <w:p w14:paraId="4996A2F1" w14:textId="77777777" w:rsidR="002818D3" w:rsidRPr="0093357A" w:rsidRDefault="002818D3" w:rsidP="0084547F"/>
    <w:p w14:paraId="32F5CB19" w14:textId="3B702214" w:rsidR="002818D3" w:rsidRPr="0093357A" w:rsidRDefault="002818D3" w:rsidP="005C3BAF">
      <w:pPr>
        <w:pStyle w:val="ListParagraph"/>
        <w:numPr>
          <w:ilvl w:val="0"/>
          <w:numId w:val="22"/>
        </w:numPr>
        <w:rPr>
          <w:szCs w:val="24"/>
        </w:rPr>
      </w:pPr>
      <w:r w:rsidRPr="0093357A">
        <w:t xml:space="preserve">changes made in accordance with regulatory, organizational, procedural and technological </w:t>
      </w:r>
      <w:proofErr w:type="gramStart"/>
      <w:r w:rsidRPr="0093357A">
        <w:t>changes</w:t>
      </w:r>
      <w:r w:rsidRPr="0093357A">
        <w:rPr>
          <w:szCs w:val="24"/>
        </w:rPr>
        <w:t>;</w:t>
      </w:r>
      <w:proofErr w:type="gramEnd"/>
    </w:p>
    <w:p w14:paraId="1A7D45DE" w14:textId="57D83F51" w:rsidR="002818D3" w:rsidRPr="0093357A" w:rsidRDefault="002818D3" w:rsidP="005C3BAF">
      <w:pPr>
        <w:pStyle w:val="ListParagraph"/>
        <w:numPr>
          <w:ilvl w:val="0"/>
          <w:numId w:val="22"/>
        </w:numPr>
        <w:rPr>
          <w:szCs w:val="24"/>
        </w:rPr>
      </w:pPr>
      <w:r w:rsidRPr="0093357A">
        <w:t>policy recommendations and comments made by the Bank’s regulators, auditors and consultants</w:t>
      </w:r>
      <w:r w:rsidRPr="0093357A">
        <w:rPr>
          <w:szCs w:val="24"/>
        </w:rPr>
        <w:t>; and</w:t>
      </w:r>
    </w:p>
    <w:p w14:paraId="52EE0993" w14:textId="722B642D" w:rsidR="002818D3" w:rsidRPr="0093357A" w:rsidRDefault="002818D3" w:rsidP="005C3BAF">
      <w:pPr>
        <w:pStyle w:val="ListParagraph"/>
        <w:numPr>
          <w:ilvl w:val="0"/>
          <w:numId w:val="22"/>
        </w:numPr>
      </w:pPr>
      <w:r w:rsidRPr="0093357A">
        <w:t>Correction of typographical and grammatical errors.</w:t>
      </w:r>
    </w:p>
    <w:p w14:paraId="10F22186" w14:textId="77777777" w:rsidR="002818D3" w:rsidRPr="0093357A" w:rsidRDefault="002818D3" w:rsidP="0084547F"/>
    <w:bookmarkEnd w:id="1"/>
    <w:p w14:paraId="33FCD258" w14:textId="4E79A1DE" w:rsidR="002818D3" w:rsidRPr="0093357A" w:rsidRDefault="002818D3" w:rsidP="0084547F">
      <w:r w:rsidRPr="0093357A">
        <w:t>All interim policy changes will be recorded on the policy cover page</w:t>
      </w:r>
      <w:r w:rsidRPr="0093357A">
        <w:rPr>
          <w:szCs w:val="24"/>
        </w:rPr>
        <w:t>.</w:t>
      </w:r>
      <w:r w:rsidRPr="0093357A">
        <w:t xml:space="preserve">  All revisions will be submitted to the Board </w:t>
      </w:r>
      <w:r w:rsidRPr="0093357A">
        <w:rPr>
          <w:szCs w:val="24"/>
        </w:rPr>
        <w:t>or BRC</w:t>
      </w:r>
      <w:r w:rsidRPr="0093357A">
        <w:t xml:space="preserve"> in conjunction with </w:t>
      </w:r>
      <w:proofErr w:type="gramStart"/>
      <w:r w:rsidRPr="0093357A">
        <w:t>the annual</w:t>
      </w:r>
      <w:proofErr w:type="gramEnd"/>
      <w:r w:rsidRPr="0093357A">
        <w:t xml:space="preserve"> </w:t>
      </w:r>
      <w:r w:rsidRPr="0093357A">
        <w:rPr>
          <w:szCs w:val="24"/>
        </w:rPr>
        <w:t xml:space="preserve">or periodic </w:t>
      </w:r>
      <w:r w:rsidRPr="0093357A">
        <w:t>approval.</w:t>
      </w:r>
    </w:p>
    <w:p w14:paraId="761AAE09" w14:textId="77777777" w:rsidR="002818D3" w:rsidRPr="0093357A" w:rsidRDefault="002818D3" w:rsidP="0084547F">
      <w:r w:rsidRPr="0093357A">
        <w:t>Any Policy that is completely or substantially rewritten, beyond an interim policy change, must be submitted to the Board or BRC for approval.</w:t>
      </w:r>
    </w:p>
    <w:p w14:paraId="78937911" w14:textId="77777777" w:rsidR="002818D3" w:rsidRPr="0093357A" w:rsidRDefault="002818D3" w:rsidP="0084547F"/>
    <w:p w14:paraId="0EA5DAA6" w14:textId="77777777" w:rsidR="0064725D" w:rsidRPr="00C17F4A" w:rsidRDefault="0064725D" w:rsidP="00C17F4A">
      <w:pPr>
        <w:pStyle w:val="Footer"/>
      </w:pPr>
    </w:p>
    <w:sectPr w:rsidR="0064725D" w:rsidRPr="00C17F4A" w:rsidSect="00A91347">
      <w:headerReference w:type="first" r:id="rId13"/>
      <w:footerReference w:type="first" r:id="rId14"/>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ABFC" w14:textId="77777777" w:rsidR="00A91347" w:rsidRDefault="00A91347" w:rsidP="0084547F">
      <w:r>
        <w:separator/>
      </w:r>
    </w:p>
    <w:p w14:paraId="4DE2C4B4" w14:textId="77777777" w:rsidR="00A91347" w:rsidRDefault="00A91347" w:rsidP="0084547F"/>
    <w:p w14:paraId="0FA10549" w14:textId="77777777" w:rsidR="00A91347" w:rsidRDefault="00A91347" w:rsidP="0084547F"/>
  </w:endnote>
  <w:endnote w:type="continuationSeparator" w:id="0">
    <w:p w14:paraId="5678080A" w14:textId="77777777" w:rsidR="00A91347" w:rsidRDefault="00A91347" w:rsidP="0084547F">
      <w:r>
        <w:continuationSeparator/>
      </w:r>
    </w:p>
    <w:p w14:paraId="55D9527B" w14:textId="77777777" w:rsidR="00A91347" w:rsidRDefault="00A91347" w:rsidP="0084547F"/>
    <w:p w14:paraId="0D3E1346" w14:textId="77777777" w:rsidR="00A91347" w:rsidRDefault="00A91347" w:rsidP="0084547F"/>
  </w:endnote>
  <w:endnote w:type="continuationNotice" w:id="1">
    <w:p w14:paraId="4DF828FE" w14:textId="77777777" w:rsidR="00A91347" w:rsidRDefault="00A91347" w:rsidP="0084547F"/>
    <w:p w14:paraId="44496A3F" w14:textId="77777777" w:rsidR="00A91347" w:rsidRDefault="00A91347" w:rsidP="0084547F"/>
    <w:p w14:paraId="4F7DC1C9" w14:textId="77777777" w:rsidR="00A91347" w:rsidRDefault="00A91347" w:rsidP="00845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198533"/>
      <w:docPartObj>
        <w:docPartGallery w:val="Page Numbers (Bottom of Page)"/>
        <w:docPartUnique/>
      </w:docPartObj>
    </w:sdtPr>
    <w:sdtEndPr/>
    <w:sdtContent>
      <w:p w14:paraId="120FC440" w14:textId="52974B1C" w:rsidR="00E01E40" w:rsidRPr="00C17F4A" w:rsidRDefault="00C17F4A" w:rsidP="00C17F4A">
        <w:pPr>
          <w:pStyle w:val="Footer"/>
        </w:pPr>
        <w:r w:rsidRPr="00C17F4A">
          <w:t>Company/Document Name</w:t>
        </w:r>
        <w:r w:rsidRPr="00C17F4A">
          <w:tab/>
        </w:r>
        <w:r w:rsidR="00E01E40" w:rsidRPr="00C17F4A">
          <w:fldChar w:fldCharType="begin"/>
        </w:r>
        <w:r w:rsidR="00E01E40" w:rsidRPr="00C17F4A">
          <w:instrText xml:space="preserve"> PAGE   \* MERGEFORMAT </w:instrText>
        </w:r>
        <w:r w:rsidR="00E01E40" w:rsidRPr="00C17F4A">
          <w:fldChar w:fldCharType="separate"/>
        </w:r>
        <w:r w:rsidR="002A121F" w:rsidRPr="00C17F4A">
          <w:t>10</w:t>
        </w:r>
        <w:r w:rsidR="00E01E40" w:rsidRPr="00C17F4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85BF" w14:textId="77777777" w:rsidR="00E01E40" w:rsidRDefault="00E01E40" w:rsidP="00C17F4A">
    <w:pPr>
      <w:pStyle w:val="Footer"/>
    </w:pPr>
  </w:p>
  <w:p w14:paraId="242BDDC9" w14:textId="77777777" w:rsidR="00E01E40" w:rsidRDefault="00E01E40" w:rsidP="00C17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764084"/>
      <w:docPartObj>
        <w:docPartGallery w:val="Page Numbers (Bottom of Page)"/>
        <w:docPartUnique/>
      </w:docPartObj>
    </w:sdtPr>
    <w:sdtEndPr/>
    <w:sdtContent>
      <w:p w14:paraId="08D9BCE8" w14:textId="0D55E75B" w:rsidR="00C17F4A" w:rsidRDefault="00C17F4A" w:rsidP="00C17F4A">
        <w:pPr>
          <w:pStyle w:val="Footer"/>
        </w:pPr>
        <w:r w:rsidRPr="00C17F4A">
          <w:t>Company/Document Name</w:t>
        </w:r>
        <w:r w:rsidRPr="00C17F4A">
          <w:tab/>
        </w:r>
        <w:r w:rsidRPr="00C17F4A">
          <w:fldChar w:fldCharType="begin"/>
        </w:r>
        <w:r w:rsidRPr="00C17F4A">
          <w:instrText xml:space="preserve"> PAGE   \* MERGEFORMAT </w:instrText>
        </w:r>
        <w:r w:rsidRPr="00C17F4A">
          <w:fldChar w:fldCharType="separate"/>
        </w:r>
        <w:r>
          <w:t>1</w:t>
        </w:r>
        <w:r w:rsidRPr="00C17F4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85E9" w14:textId="77777777" w:rsidR="00A91347" w:rsidRDefault="00A91347" w:rsidP="0084547F">
      <w:r>
        <w:separator/>
      </w:r>
    </w:p>
    <w:p w14:paraId="31CC2884" w14:textId="77777777" w:rsidR="00A91347" w:rsidRDefault="00A91347" w:rsidP="0084547F"/>
    <w:p w14:paraId="003B26E0" w14:textId="77777777" w:rsidR="00A91347" w:rsidRDefault="00A91347" w:rsidP="0084547F"/>
  </w:footnote>
  <w:footnote w:type="continuationSeparator" w:id="0">
    <w:p w14:paraId="0ADE1A88" w14:textId="77777777" w:rsidR="00A91347" w:rsidRDefault="00A91347" w:rsidP="0084547F">
      <w:r>
        <w:continuationSeparator/>
      </w:r>
    </w:p>
    <w:p w14:paraId="05AC7B0C" w14:textId="77777777" w:rsidR="00A91347" w:rsidRDefault="00A91347" w:rsidP="0084547F"/>
    <w:p w14:paraId="44F93235" w14:textId="77777777" w:rsidR="00A91347" w:rsidRDefault="00A91347" w:rsidP="0084547F"/>
  </w:footnote>
  <w:footnote w:type="continuationNotice" w:id="1">
    <w:p w14:paraId="7718EDF9" w14:textId="77777777" w:rsidR="00A91347" w:rsidRDefault="00A91347" w:rsidP="0084547F"/>
    <w:p w14:paraId="126E6EE8" w14:textId="77777777" w:rsidR="00A91347" w:rsidRDefault="00A91347" w:rsidP="0084547F"/>
    <w:p w14:paraId="31A18117" w14:textId="77777777" w:rsidR="00A91347" w:rsidRDefault="00A91347" w:rsidP="00845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436" w14:textId="77777777" w:rsidR="00E01E40" w:rsidRDefault="00E01E40" w:rsidP="0084547F"/>
  <w:p w14:paraId="2390FE0C" w14:textId="77777777" w:rsidR="00E01E40" w:rsidRDefault="00E01E40" w:rsidP="008454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1589" w14:textId="3E98CA25" w:rsidR="00E01E40" w:rsidRPr="00691DD8" w:rsidRDefault="0019772C" w:rsidP="0084547F">
    <w:r>
      <w:rPr>
        <w:noProof/>
      </w:rPr>
      <mc:AlternateContent>
        <mc:Choice Requires="wps">
          <w:drawing>
            <wp:anchor distT="0" distB="0" distL="114300" distR="114300" simplePos="0" relativeHeight="251658239" behindDoc="0" locked="0" layoutInCell="1" allowOverlap="1" wp14:anchorId="068FCA6E" wp14:editId="6458F285">
              <wp:simplePos x="0" y="0"/>
              <wp:positionH relativeFrom="column">
                <wp:posOffset>-914400</wp:posOffset>
              </wp:positionH>
              <wp:positionV relativeFrom="paragraph">
                <wp:posOffset>1031132</wp:posOffset>
              </wp:positionV>
              <wp:extent cx="7761064" cy="7081736"/>
              <wp:effectExtent l="0" t="0" r="0" b="5080"/>
              <wp:wrapNone/>
              <wp:docPr id="466638728" name="Rectangle 1"/>
              <wp:cNvGraphicFramePr/>
              <a:graphic xmlns:a="http://schemas.openxmlformats.org/drawingml/2006/main">
                <a:graphicData uri="http://schemas.microsoft.com/office/word/2010/wordprocessingShape">
                  <wps:wsp>
                    <wps:cNvSpPr/>
                    <wps:spPr>
                      <a:xfrm>
                        <a:off x="0" y="0"/>
                        <a:ext cx="7761064" cy="7081736"/>
                      </a:xfrm>
                      <a:prstGeom prst="rect">
                        <a:avLst/>
                      </a:prstGeom>
                      <a:solidFill>
                        <a:schemeClr val="accent6">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13624D" id="Rectangle 1" o:spid="_x0000_s1026" style="position:absolute;margin-left:-1in;margin-top:81.2pt;width:611.1pt;height:557.6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" fillcolor="#d8d8d8 [2729]" stroked="f" strokeweight="2pt"/>
          </w:pict>
        </mc:Fallback>
      </mc:AlternateContent>
    </w:r>
    <w:r w:rsidR="00896349">
      <w:rPr>
        <w:noProof/>
      </w:rPr>
      <mc:AlternateContent>
        <mc:Choice Requires="wps">
          <w:drawing>
            <wp:anchor distT="0" distB="0" distL="114300" distR="114300" simplePos="0" relativeHeight="251638784" behindDoc="0" locked="0" layoutInCell="1" allowOverlap="1" wp14:anchorId="50220525" wp14:editId="050B97DA">
              <wp:simplePos x="0" y="0"/>
              <wp:positionH relativeFrom="page">
                <wp:align>left</wp:align>
              </wp:positionH>
              <wp:positionV relativeFrom="paragraph">
                <wp:posOffset>-457200</wp:posOffset>
              </wp:positionV>
              <wp:extent cx="7854950" cy="10090150"/>
              <wp:effectExtent l="0" t="0" r="0" b="6350"/>
              <wp:wrapNone/>
              <wp:docPr id="2093949137" name="Rectangle 1"/>
              <wp:cNvGraphicFramePr/>
              <a:graphic xmlns:a="http://schemas.openxmlformats.org/drawingml/2006/main">
                <a:graphicData uri="http://schemas.microsoft.com/office/word/2010/wordprocessingShape">
                  <wps:wsp>
                    <wps:cNvSpPr/>
                    <wps:spPr>
                      <a:xfrm>
                        <a:off x="0" y="0"/>
                        <a:ext cx="7854950" cy="1009015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C3D7" id="Rectangle 1" o:spid="_x0000_s1026" style="position:absolute;margin-left:0;margin-top:-36pt;width:618.5pt;height:794.5pt;z-index:2516387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" fillcolor="#342a4c [3213]"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A060" w14:textId="77777777" w:rsidR="00896349" w:rsidRPr="00691DD8" w:rsidRDefault="00896349" w:rsidP="008454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C2453E"/>
    <w:multiLevelType w:val="hybridMultilevel"/>
    <w:tmpl w:val="C942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36587"/>
    <w:multiLevelType w:val="hybridMultilevel"/>
    <w:tmpl w:val="83EC706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32C6"/>
    <w:multiLevelType w:val="hybridMultilevel"/>
    <w:tmpl w:val="B9266CEA"/>
    <w:lvl w:ilvl="0" w:tplc="1FC42A5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6FC3"/>
    <w:multiLevelType w:val="hybridMultilevel"/>
    <w:tmpl w:val="A834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01A"/>
    <w:multiLevelType w:val="hybridMultilevel"/>
    <w:tmpl w:val="5AF25524"/>
    <w:lvl w:ilvl="0" w:tplc="F94EC9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226D19"/>
    <w:multiLevelType w:val="multilevel"/>
    <w:tmpl w:val="6036957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DB379AE"/>
    <w:multiLevelType w:val="hybridMultilevel"/>
    <w:tmpl w:val="496E4F02"/>
    <w:lvl w:ilvl="0" w:tplc="87DCA8D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6E39D9"/>
    <w:multiLevelType w:val="hybridMultilevel"/>
    <w:tmpl w:val="653C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521B5"/>
    <w:multiLevelType w:val="hybridMultilevel"/>
    <w:tmpl w:val="FCB2D14E"/>
    <w:lvl w:ilvl="0" w:tplc="F0745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90F35"/>
    <w:multiLevelType w:val="hybridMultilevel"/>
    <w:tmpl w:val="59BAAB8E"/>
    <w:lvl w:ilvl="0" w:tplc="F9DC2C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9884781"/>
    <w:multiLevelType w:val="hybridMultilevel"/>
    <w:tmpl w:val="088E69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71D83"/>
    <w:multiLevelType w:val="hybridMultilevel"/>
    <w:tmpl w:val="DCCAC8F8"/>
    <w:lvl w:ilvl="0" w:tplc="88B2B47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D660B"/>
    <w:multiLevelType w:val="hybridMultilevel"/>
    <w:tmpl w:val="F830E0B8"/>
    <w:lvl w:ilvl="0" w:tplc="66B0ED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91B39"/>
    <w:multiLevelType w:val="hybridMultilevel"/>
    <w:tmpl w:val="01B2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C97AC3"/>
    <w:multiLevelType w:val="hybridMultilevel"/>
    <w:tmpl w:val="8660AF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C1978"/>
    <w:multiLevelType w:val="hybridMultilevel"/>
    <w:tmpl w:val="7CC04C3A"/>
    <w:lvl w:ilvl="0" w:tplc="6F14F306">
      <w:start w:val="1"/>
      <w:numFmt w:val="bullet"/>
      <w:lvlText w:val=""/>
      <w:lvlJc w:val="left"/>
      <w:pPr>
        <w:ind w:hanging="360"/>
      </w:pPr>
      <w:rPr>
        <w:rFonts w:ascii="Symbol" w:hAnsi="Symbol" w:hint="default"/>
        <w:strike w:val="0"/>
        <w:dstrike w:val="0"/>
      </w:rPr>
    </w:lvl>
    <w:lvl w:ilvl="1" w:tplc="E3EC656E">
      <w:start w:val="1"/>
      <w:numFmt w:val="bullet"/>
      <w:lvlText w:val="o"/>
      <w:lvlJc w:val="left"/>
      <w:pPr>
        <w:ind w:hanging="360"/>
      </w:pPr>
      <w:rPr>
        <w:rFonts w:ascii="Courier New" w:hAnsi="Courier New" w:cs="Courier New" w:hint="cs"/>
        <w:strike w:val="0"/>
        <w:dstrike w:val="0"/>
        <w:rtl w:val="0"/>
      </w:rPr>
    </w:lvl>
    <w:lvl w:ilvl="2" w:tplc="999A3E86">
      <w:start w:val="1"/>
      <w:numFmt w:val="bullet"/>
      <w:lvlText w:val=""/>
      <w:lvlJc w:val="left"/>
      <w:pPr>
        <w:ind w:hanging="360"/>
      </w:pPr>
      <w:rPr>
        <w:rFonts w:ascii="Wingdings" w:hAnsi="Wingdings" w:hint="default"/>
        <w:strike w:val="0"/>
        <w:dstrike w:val="0"/>
      </w:rPr>
    </w:lvl>
    <w:lvl w:ilvl="3" w:tplc="E72886DE">
      <w:start w:val="1"/>
      <w:numFmt w:val="bullet"/>
      <w:lvlText w:val=""/>
      <w:lvlJc w:val="left"/>
      <w:pPr>
        <w:ind w:hanging="360"/>
      </w:pPr>
      <w:rPr>
        <w:rFonts w:ascii="Symbol" w:hAnsi="Symbol" w:hint="default"/>
        <w:strike w:val="0"/>
        <w:dstrike w:val="0"/>
      </w:rPr>
    </w:lvl>
    <w:lvl w:ilvl="4" w:tplc="65587C88">
      <w:start w:val="1"/>
      <w:numFmt w:val="bullet"/>
      <w:lvlText w:val="o"/>
      <w:lvlJc w:val="left"/>
      <w:pPr>
        <w:ind w:hanging="360"/>
      </w:pPr>
      <w:rPr>
        <w:rFonts w:ascii="Courier New" w:hAnsi="Courier New" w:cs="Courier New" w:hint="cs"/>
        <w:strike w:val="0"/>
        <w:dstrike w:val="0"/>
        <w:rtl w:val="0"/>
      </w:rPr>
    </w:lvl>
    <w:lvl w:ilvl="5" w:tplc="F10AB53A">
      <w:start w:val="1"/>
      <w:numFmt w:val="bullet"/>
      <w:lvlText w:val=""/>
      <w:lvlJc w:val="left"/>
      <w:pPr>
        <w:ind w:hanging="360"/>
      </w:pPr>
      <w:rPr>
        <w:rFonts w:ascii="Wingdings" w:hAnsi="Wingdings" w:hint="default"/>
        <w:strike w:val="0"/>
        <w:dstrike w:val="0"/>
      </w:rPr>
    </w:lvl>
    <w:lvl w:ilvl="6" w:tplc="1BFE35AC">
      <w:start w:val="1"/>
      <w:numFmt w:val="bullet"/>
      <w:lvlText w:val=""/>
      <w:lvlJc w:val="left"/>
      <w:pPr>
        <w:ind w:hanging="360"/>
      </w:pPr>
      <w:rPr>
        <w:rFonts w:ascii="Symbol" w:hAnsi="Symbol" w:hint="default"/>
        <w:strike w:val="0"/>
        <w:dstrike w:val="0"/>
      </w:rPr>
    </w:lvl>
    <w:lvl w:ilvl="7" w:tplc="8ABCE358">
      <w:start w:val="1"/>
      <w:numFmt w:val="bullet"/>
      <w:lvlText w:val="o"/>
      <w:lvlJc w:val="left"/>
      <w:pPr>
        <w:ind w:hanging="360"/>
      </w:pPr>
      <w:rPr>
        <w:rFonts w:ascii="Courier New" w:hAnsi="Courier New" w:cs="Courier New" w:hint="cs"/>
        <w:strike w:val="0"/>
        <w:dstrike w:val="0"/>
        <w:rtl w:val="0"/>
      </w:rPr>
    </w:lvl>
    <w:lvl w:ilvl="8" w:tplc="2B92C58C">
      <w:start w:val="1"/>
      <w:numFmt w:val="bullet"/>
      <w:lvlText w:val=""/>
      <w:lvlJc w:val="left"/>
      <w:pPr>
        <w:ind w:hanging="360"/>
      </w:pPr>
      <w:rPr>
        <w:rFonts w:ascii="Wingdings" w:hAnsi="Wingdings" w:hint="default"/>
        <w:strike w:val="0"/>
        <w:dstrike w:val="0"/>
      </w:rPr>
    </w:lvl>
  </w:abstractNum>
  <w:abstractNum w:abstractNumId="17" w15:restartNumberingAfterBreak="0">
    <w:nsid w:val="51600ABB"/>
    <w:multiLevelType w:val="hybridMultilevel"/>
    <w:tmpl w:val="A5DC991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BDB233C"/>
    <w:multiLevelType w:val="hybridMultilevel"/>
    <w:tmpl w:val="D9425E0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E630C"/>
    <w:multiLevelType w:val="hybridMultilevel"/>
    <w:tmpl w:val="C956892C"/>
    <w:lvl w:ilvl="0" w:tplc="EA5A3C2E">
      <w:start w:val="1"/>
      <w:numFmt w:val="decimal"/>
      <w:pStyle w:val="ListParagrap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67A8E"/>
    <w:multiLevelType w:val="hybridMultilevel"/>
    <w:tmpl w:val="DF1607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B72AF"/>
    <w:multiLevelType w:val="hybridMultilevel"/>
    <w:tmpl w:val="F00C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A3B9B"/>
    <w:multiLevelType w:val="hybridMultilevel"/>
    <w:tmpl w:val="ADAAD712"/>
    <w:lvl w:ilvl="0" w:tplc="A63CFE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414938">
    <w:abstractNumId w:val="0"/>
    <w:lvlOverride w:ilvl="0">
      <w:lvl w:ilvl="0">
        <w:numFmt w:val="bullet"/>
        <w:lvlText w:val=""/>
        <w:legacy w:legacy="1" w:legacySpace="0" w:legacyIndent="360"/>
        <w:lvlJc w:val="left"/>
        <w:pPr>
          <w:ind w:left="648" w:hanging="360"/>
        </w:pPr>
        <w:rPr>
          <w:rFonts w:ascii="Symbol" w:hAnsi="Symbol" w:hint="default"/>
        </w:rPr>
      </w:lvl>
    </w:lvlOverride>
  </w:num>
  <w:num w:numId="2" w16cid:durableId="88622929">
    <w:abstractNumId w:val="5"/>
  </w:num>
  <w:num w:numId="3" w16cid:durableId="178785726">
    <w:abstractNumId w:val="20"/>
  </w:num>
  <w:num w:numId="4" w16cid:durableId="1517649125">
    <w:abstractNumId w:val="16"/>
  </w:num>
  <w:num w:numId="5" w16cid:durableId="2111965708">
    <w:abstractNumId w:val="9"/>
  </w:num>
  <w:num w:numId="6" w16cid:durableId="1349136700">
    <w:abstractNumId w:val="18"/>
  </w:num>
  <w:num w:numId="7" w16cid:durableId="89744371">
    <w:abstractNumId w:val="19"/>
  </w:num>
  <w:num w:numId="8" w16cid:durableId="1636174981">
    <w:abstractNumId w:val="13"/>
  </w:num>
  <w:num w:numId="9" w16cid:durableId="491411297">
    <w:abstractNumId w:val="11"/>
  </w:num>
  <w:num w:numId="10" w16cid:durableId="2146971843">
    <w:abstractNumId w:val="2"/>
  </w:num>
  <w:num w:numId="11" w16cid:durableId="1979529650">
    <w:abstractNumId w:val="15"/>
  </w:num>
  <w:num w:numId="12" w16cid:durableId="2085836053">
    <w:abstractNumId w:val="6"/>
  </w:num>
  <w:num w:numId="13" w16cid:durableId="1431437609">
    <w:abstractNumId w:val="22"/>
  </w:num>
  <w:num w:numId="14" w16cid:durableId="873227223">
    <w:abstractNumId w:val="21"/>
  </w:num>
  <w:num w:numId="15" w16cid:durableId="1751467195">
    <w:abstractNumId w:val="7"/>
  </w:num>
  <w:num w:numId="16" w16cid:durableId="41946696">
    <w:abstractNumId w:val="10"/>
  </w:num>
  <w:num w:numId="17" w16cid:durableId="18774199">
    <w:abstractNumId w:val="8"/>
  </w:num>
  <w:num w:numId="18" w16cid:durableId="1999262295">
    <w:abstractNumId w:val="1"/>
  </w:num>
  <w:num w:numId="19" w16cid:durableId="1355570710">
    <w:abstractNumId w:val="3"/>
  </w:num>
  <w:num w:numId="20" w16cid:durableId="1407653484">
    <w:abstractNumId w:val="17"/>
  </w:num>
  <w:num w:numId="21" w16cid:durableId="1368994703">
    <w:abstractNumId w:val="12"/>
  </w:num>
  <w:num w:numId="22" w16cid:durableId="1380350840">
    <w:abstractNumId w:val="4"/>
  </w:num>
  <w:num w:numId="23" w16cid:durableId="1144393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E7"/>
    <w:rsid w:val="00000EC4"/>
    <w:rsid w:val="00007BB2"/>
    <w:rsid w:val="000119E0"/>
    <w:rsid w:val="000177C4"/>
    <w:rsid w:val="000178AD"/>
    <w:rsid w:val="00017C6A"/>
    <w:rsid w:val="00030C09"/>
    <w:rsid w:val="00031337"/>
    <w:rsid w:val="00032A95"/>
    <w:rsid w:val="0003614C"/>
    <w:rsid w:val="00037075"/>
    <w:rsid w:val="0003794C"/>
    <w:rsid w:val="00041DFA"/>
    <w:rsid w:val="00042CBF"/>
    <w:rsid w:val="0004321F"/>
    <w:rsid w:val="00045627"/>
    <w:rsid w:val="0004638F"/>
    <w:rsid w:val="00046CAD"/>
    <w:rsid w:val="00063832"/>
    <w:rsid w:val="00065CCA"/>
    <w:rsid w:val="00070022"/>
    <w:rsid w:val="00075439"/>
    <w:rsid w:val="00080431"/>
    <w:rsid w:val="000804B9"/>
    <w:rsid w:val="00084D4A"/>
    <w:rsid w:val="00086A09"/>
    <w:rsid w:val="00090ADC"/>
    <w:rsid w:val="00093392"/>
    <w:rsid w:val="00097B62"/>
    <w:rsid w:val="000A1F26"/>
    <w:rsid w:val="000A2425"/>
    <w:rsid w:val="000A2507"/>
    <w:rsid w:val="000A45C7"/>
    <w:rsid w:val="000B3143"/>
    <w:rsid w:val="000C2287"/>
    <w:rsid w:val="000D1E59"/>
    <w:rsid w:val="000D6171"/>
    <w:rsid w:val="000E2373"/>
    <w:rsid w:val="000E5DA0"/>
    <w:rsid w:val="000E6625"/>
    <w:rsid w:val="000E79D1"/>
    <w:rsid w:val="000F35BC"/>
    <w:rsid w:val="000F36C5"/>
    <w:rsid w:val="000F792D"/>
    <w:rsid w:val="000F7E7B"/>
    <w:rsid w:val="00104C06"/>
    <w:rsid w:val="00105A2F"/>
    <w:rsid w:val="001062B6"/>
    <w:rsid w:val="001112F5"/>
    <w:rsid w:val="00111886"/>
    <w:rsid w:val="00115BA1"/>
    <w:rsid w:val="00117B68"/>
    <w:rsid w:val="001243E2"/>
    <w:rsid w:val="001266E5"/>
    <w:rsid w:val="00126C38"/>
    <w:rsid w:val="00130636"/>
    <w:rsid w:val="00130F1C"/>
    <w:rsid w:val="00132544"/>
    <w:rsid w:val="001326C7"/>
    <w:rsid w:val="001348E6"/>
    <w:rsid w:val="001350F1"/>
    <w:rsid w:val="0015160A"/>
    <w:rsid w:val="00154EC5"/>
    <w:rsid w:val="001610FA"/>
    <w:rsid w:val="0017287B"/>
    <w:rsid w:val="00173D1C"/>
    <w:rsid w:val="00190CF9"/>
    <w:rsid w:val="00191035"/>
    <w:rsid w:val="00195E5F"/>
    <w:rsid w:val="0019772C"/>
    <w:rsid w:val="001A454C"/>
    <w:rsid w:val="001A5FFC"/>
    <w:rsid w:val="001B094A"/>
    <w:rsid w:val="001B25EE"/>
    <w:rsid w:val="001D1462"/>
    <w:rsid w:val="001D1F9B"/>
    <w:rsid w:val="001D2284"/>
    <w:rsid w:val="001E0A94"/>
    <w:rsid w:val="001E3FF9"/>
    <w:rsid w:val="001E572B"/>
    <w:rsid w:val="001E7ED9"/>
    <w:rsid w:val="001F03DB"/>
    <w:rsid w:val="001F343C"/>
    <w:rsid w:val="0020040B"/>
    <w:rsid w:val="002223A2"/>
    <w:rsid w:val="00224DCF"/>
    <w:rsid w:val="00225A5B"/>
    <w:rsid w:val="0023051C"/>
    <w:rsid w:val="00234775"/>
    <w:rsid w:val="00246D8A"/>
    <w:rsid w:val="00254E80"/>
    <w:rsid w:val="002561EE"/>
    <w:rsid w:val="0025701D"/>
    <w:rsid w:val="00257D57"/>
    <w:rsid w:val="00257F53"/>
    <w:rsid w:val="00265474"/>
    <w:rsid w:val="00265762"/>
    <w:rsid w:val="00271ECC"/>
    <w:rsid w:val="002729CC"/>
    <w:rsid w:val="00273ACD"/>
    <w:rsid w:val="0027546B"/>
    <w:rsid w:val="002818D3"/>
    <w:rsid w:val="00284FDC"/>
    <w:rsid w:val="002909A6"/>
    <w:rsid w:val="0029626A"/>
    <w:rsid w:val="00296B13"/>
    <w:rsid w:val="002A121F"/>
    <w:rsid w:val="002A385F"/>
    <w:rsid w:val="002B01F7"/>
    <w:rsid w:val="002B07A3"/>
    <w:rsid w:val="002C2D46"/>
    <w:rsid w:val="002C2EF2"/>
    <w:rsid w:val="002D0DE5"/>
    <w:rsid w:val="002D4918"/>
    <w:rsid w:val="002D4F47"/>
    <w:rsid w:val="002D5657"/>
    <w:rsid w:val="002D78B7"/>
    <w:rsid w:val="002E4778"/>
    <w:rsid w:val="002E63B2"/>
    <w:rsid w:val="002F1D2F"/>
    <w:rsid w:val="002F5DAB"/>
    <w:rsid w:val="002F5DBF"/>
    <w:rsid w:val="002F7C36"/>
    <w:rsid w:val="00303814"/>
    <w:rsid w:val="00307509"/>
    <w:rsid w:val="00312F54"/>
    <w:rsid w:val="00313143"/>
    <w:rsid w:val="003226B6"/>
    <w:rsid w:val="00322D0E"/>
    <w:rsid w:val="0033026B"/>
    <w:rsid w:val="00331BBD"/>
    <w:rsid w:val="00331F55"/>
    <w:rsid w:val="003473A8"/>
    <w:rsid w:val="00347E8F"/>
    <w:rsid w:val="00350E00"/>
    <w:rsid w:val="00350E27"/>
    <w:rsid w:val="00352652"/>
    <w:rsid w:val="0035373B"/>
    <w:rsid w:val="00353B6A"/>
    <w:rsid w:val="00357936"/>
    <w:rsid w:val="00362648"/>
    <w:rsid w:val="003718E5"/>
    <w:rsid w:val="003722C7"/>
    <w:rsid w:val="003732EB"/>
    <w:rsid w:val="00374BB7"/>
    <w:rsid w:val="00380714"/>
    <w:rsid w:val="003818AE"/>
    <w:rsid w:val="00383286"/>
    <w:rsid w:val="0038593B"/>
    <w:rsid w:val="003867E9"/>
    <w:rsid w:val="0039477A"/>
    <w:rsid w:val="003957C9"/>
    <w:rsid w:val="003A0AD9"/>
    <w:rsid w:val="003A5595"/>
    <w:rsid w:val="003A7C67"/>
    <w:rsid w:val="003B3327"/>
    <w:rsid w:val="003B546D"/>
    <w:rsid w:val="003B605C"/>
    <w:rsid w:val="003B65FF"/>
    <w:rsid w:val="003B7639"/>
    <w:rsid w:val="003B79D1"/>
    <w:rsid w:val="003C590A"/>
    <w:rsid w:val="003C6168"/>
    <w:rsid w:val="003C6C13"/>
    <w:rsid w:val="003D65F2"/>
    <w:rsid w:val="003D7F6A"/>
    <w:rsid w:val="003E3723"/>
    <w:rsid w:val="003E52CB"/>
    <w:rsid w:val="003E5C46"/>
    <w:rsid w:val="003E60F4"/>
    <w:rsid w:val="00401E1B"/>
    <w:rsid w:val="00412935"/>
    <w:rsid w:val="004145F4"/>
    <w:rsid w:val="00416ADA"/>
    <w:rsid w:val="00420359"/>
    <w:rsid w:val="00421794"/>
    <w:rsid w:val="00423BDC"/>
    <w:rsid w:val="00427141"/>
    <w:rsid w:val="0043464C"/>
    <w:rsid w:val="00450F79"/>
    <w:rsid w:val="00455F08"/>
    <w:rsid w:val="00456F2E"/>
    <w:rsid w:val="00464621"/>
    <w:rsid w:val="00486064"/>
    <w:rsid w:val="00494764"/>
    <w:rsid w:val="004A008F"/>
    <w:rsid w:val="004A20BB"/>
    <w:rsid w:val="004B07A0"/>
    <w:rsid w:val="004B1034"/>
    <w:rsid w:val="004B118D"/>
    <w:rsid w:val="004B149D"/>
    <w:rsid w:val="004D0073"/>
    <w:rsid w:val="004D0E25"/>
    <w:rsid w:val="004D3794"/>
    <w:rsid w:val="004D3AA4"/>
    <w:rsid w:val="004D48DB"/>
    <w:rsid w:val="004D576B"/>
    <w:rsid w:val="004D626B"/>
    <w:rsid w:val="004D757F"/>
    <w:rsid w:val="004D7B46"/>
    <w:rsid w:val="004E37A4"/>
    <w:rsid w:val="004E37FC"/>
    <w:rsid w:val="004F0C2D"/>
    <w:rsid w:val="004F17DB"/>
    <w:rsid w:val="004F3EA1"/>
    <w:rsid w:val="004F4578"/>
    <w:rsid w:val="004F4838"/>
    <w:rsid w:val="00503B96"/>
    <w:rsid w:val="00503BE6"/>
    <w:rsid w:val="005042D7"/>
    <w:rsid w:val="0050680D"/>
    <w:rsid w:val="00523D8A"/>
    <w:rsid w:val="00526860"/>
    <w:rsid w:val="00526943"/>
    <w:rsid w:val="00527857"/>
    <w:rsid w:val="005312A2"/>
    <w:rsid w:val="00533807"/>
    <w:rsid w:val="005347EC"/>
    <w:rsid w:val="00542F32"/>
    <w:rsid w:val="0055518A"/>
    <w:rsid w:val="0056032C"/>
    <w:rsid w:val="005612F6"/>
    <w:rsid w:val="005656E0"/>
    <w:rsid w:val="00570189"/>
    <w:rsid w:val="00570D96"/>
    <w:rsid w:val="005730AE"/>
    <w:rsid w:val="0058086D"/>
    <w:rsid w:val="005827FA"/>
    <w:rsid w:val="00584462"/>
    <w:rsid w:val="00592532"/>
    <w:rsid w:val="005A6B50"/>
    <w:rsid w:val="005C3BAF"/>
    <w:rsid w:val="005D0C97"/>
    <w:rsid w:val="005D43C1"/>
    <w:rsid w:val="005D5009"/>
    <w:rsid w:val="005D622C"/>
    <w:rsid w:val="005D7D74"/>
    <w:rsid w:val="005E0CC8"/>
    <w:rsid w:val="005E7FD9"/>
    <w:rsid w:val="005F3368"/>
    <w:rsid w:val="005F4D26"/>
    <w:rsid w:val="005F6F0C"/>
    <w:rsid w:val="00601316"/>
    <w:rsid w:val="00624BBB"/>
    <w:rsid w:val="00633A52"/>
    <w:rsid w:val="006344D2"/>
    <w:rsid w:val="00636DC7"/>
    <w:rsid w:val="00637C69"/>
    <w:rsid w:val="00643C4D"/>
    <w:rsid w:val="0064725D"/>
    <w:rsid w:val="006553DC"/>
    <w:rsid w:val="006556AB"/>
    <w:rsid w:val="00655C7F"/>
    <w:rsid w:val="00656CF6"/>
    <w:rsid w:val="006572CD"/>
    <w:rsid w:val="00661516"/>
    <w:rsid w:val="00661A66"/>
    <w:rsid w:val="00666321"/>
    <w:rsid w:val="006671B2"/>
    <w:rsid w:val="006807A4"/>
    <w:rsid w:val="00683F30"/>
    <w:rsid w:val="006849A2"/>
    <w:rsid w:val="00684F33"/>
    <w:rsid w:val="00687DA0"/>
    <w:rsid w:val="00691DD8"/>
    <w:rsid w:val="006927C7"/>
    <w:rsid w:val="00694298"/>
    <w:rsid w:val="00694B80"/>
    <w:rsid w:val="00695D2E"/>
    <w:rsid w:val="006A50C0"/>
    <w:rsid w:val="006A5EE3"/>
    <w:rsid w:val="006B4A37"/>
    <w:rsid w:val="006B5B3F"/>
    <w:rsid w:val="006B6E20"/>
    <w:rsid w:val="006B783E"/>
    <w:rsid w:val="006C458C"/>
    <w:rsid w:val="006C5A3B"/>
    <w:rsid w:val="006D5CC0"/>
    <w:rsid w:val="006E0F1C"/>
    <w:rsid w:val="006E4277"/>
    <w:rsid w:val="006E6A91"/>
    <w:rsid w:val="006E7254"/>
    <w:rsid w:val="006F1EA8"/>
    <w:rsid w:val="006F254F"/>
    <w:rsid w:val="006F34C2"/>
    <w:rsid w:val="006F4A2F"/>
    <w:rsid w:val="006F6D2B"/>
    <w:rsid w:val="007040B0"/>
    <w:rsid w:val="00704A02"/>
    <w:rsid w:val="0071255E"/>
    <w:rsid w:val="00715E22"/>
    <w:rsid w:val="00722366"/>
    <w:rsid w:val="007400E2"/>
    <w:rsid w:val="0074068B"/>
    <w:rsid w:val="00741DB6"/>
    <w:rsid w:val="0074209E"/>
    <w:rsid w:val="007621E0"/>
    <w:rsid w:val="00762590"/>
    <w:rsid w:val="0076700B"/>
    <w:rsid w:val="00770200"/>
    <w:rsid w:val="0077130C"/>
    <w:rsid w:val="00771EF5"/>
    <w:rsid w:val="00773634"/>
    <w:rsid w:val="00774C9E"/>
    <w:rsid w:val="00783E73"/>
    <w:rsid w:val="00787543"/>
    <w:rsid w:val="00787D0F"/>
    <w:rsid w:val="0079669F"/>
    <w:rsid w:val="007A01B4"/>
    <w:rsid w:val="007A110D"/>
    <w:rsid w:val="007A1CD5"/>
    <w:rsid w:val="007A58DF"/>
    <w:rsid w:val="007B0B21"/>
    <w:rsid w:val="007B2762"/>
    <w:rsid w:val="007B2DE1"/>
    <w:rsid w:val="007C25B4"/>
    <w:rsid w:val="007C37B5"/>
    <w:rsid w:val="007C6B6D"/>
    <w:rsid w:val="007C6E2E"/>
    <w:rsid w:val="007D0E27"/>
    <w:rsid w:val="007D4A4E"/>
    <w:rsid w:val="007D6B79"/>
    <w:rsid w:val="007D7C10"/>
    <w:rsid w:val="007F24E0"/>
    <w:rsid w:val="007F5010"/>
    <w:rsid w:val="007F67AD"/>
    <w:rsid w:val="0080054D"/>
    <w:rsid w:val="0080271B"/>
    <w:rsid w:val="00807666"/>
    <w:rsid w:val="00813B45"/>
    <w:rsid w:val="00814242"/>
    <w:rsid w:val="008174B5"/>
    <w:rsid w:val="00822745"/>
    <w:rsid w:val="00834F94"/>
    <w:rsid w:val="0084452C"/>
    <w:rsid w:val="0084547F"/>
    <w:rsid w:val="00846201"/>
    <w:rsid w:val="00864867"/>
    <w:rsid w:val="00866BDB"/>
    <w:rsid w:val="008728BF"/>
    <w:rsid w:val="008753C5"/>
    <w:rsid w:val="00877078"/>
    <w:rsid w:val="0087780B"/>
    <w:rsid w:val="008846D6"/>
    <w:rsid w:val="00887D83"/>
    <w:rsid w:val="008919DD"/>
    <w:rsid w:val="00896349"/>
    <w:rsid w:val="00897199"/>
    <w:rsid w:val="008A1AE5"/>
    <w:rsid w:val="008B48A2"/>
    <w:rsid w:val="008B54F7"/>
    <w:rsid w:val="008C1ECC"/>
    <w:rsid w:val="008C31E1"/>
    <w:rsid w:val="008D22FD"/>
    <w:rsid w:val="008D3405"/>
    <w:rsid w:val="008E048C"/>
    <w:rsid w:val="008E23D4"/>
    <w:rsid w:val="008F0339"/>
    <w:rsid w:val="008F3458"/>
    <w:rsid w:val="008F5B7B"/>
    <w:rsid w:val="008F663A"/>
    <w:rsid w:val="00900085"/>
    <w:rsid w:val="009004AF"/>
    <w:rsid w:val="00901AEB"/>
    <w:rsid w:val="009023A7"/>
    <w:rsid w:val="00904A7D"/>
    <w:rsid w:val="00910C79"/>
    <w:rsid w:val="00911CC9"/>
    <w:rsid w:val="00911EA4"/>
    <w:rsid w:val="009200AC"/>
    <w:rsid w:val="009212B8"/>
    <w:rsid w:val="00925BF9"/>
    <w:rsid w:val="0093357A"/>
    <w:rsid w:val="0093526D"/>
    <w:rsid w:val="009374E8"/>
    <w:rsid w:val="00941E3C"/>
    <w:rsid w:val="009476E7"/>
    <w:rsid w:val="00950739"/>
    <w:rsid w:val="009603A9"/>
    <w:rsid w:val="009615A7"/>
    <w:rsid w:val="0097197E"/>
    <w:rsid w:val="00986C1C"/>
    <w:rsid w:val="009A73F6"/>
    <w:rsid w:val="009B0FFE"/>
    <w:rsid w:val="009B1A76"/>
    <w:rsid w:val="009B3E5E"/>
    <w:rsid w:val="009B6F98"/>
    <w:rsid w:val="009B71C2"/>
    <w:rsid w:val="009B7FAD"/>
    <w:rsid w:val="009C5EDA"/>
    <w:rsid w:val="009D30AE"/>
    <w:rsid w:val="009D78D5"/>
    <w:rsid w:val="009E0DC8"/>
    <w:rsid w:val="009E12DB"/>
    <w:rsid w:val="009E6B68"/>
    <w:rsid w:val="009E7043"/>
    <w:rsid w:val="009F21E7"/>
    <w:rsid w:val="009F264D"/>
    <w:rsid w:val="009F2871"/>
    <w:rsid w:val="00A03B46"/>
    <w:rsid w:val="00A050FF"/>
    <w:rsid w:val="00A06D32"/>
    <w:rsid w:val="00A07B47"/>
    <w:rsid w:val="00A134B2"/>
    <w:rsid w:val="00A14692"/>
    <w:rsid w:val="00A247BB"/>
    <w:rsid w:val="00A2524B"/>
    <w:rsid w:val="00A27A7B"/>
    <w:rsid w:val="00A27B07"/>
    <w:rsid w:val="00A309AF"/>
    <w:rsid w:val="00A321DA"/>
    <w:rsid w:val="00A3576E"/>
    <w:rsid w:val="00A44E61"/>
    <w:rsid w:val="00A4682A"/>
    <w:rsid w:val="00A473F6"/>
    <w:rsid w:val="00A52CCB"/>
    <w:rsid w:val="00A56290"/>
    <w:rsid w:val="00A62785"/>
    <w:rsid w:val="00A62EF3"/>
    <w:rsid w:val="00A661BA"/>
    <w:rsid w:val="00A8515C"/>
    <w:rsid w:val="00A91347"/>
    <w:rsid w:val="00AA40B1"/>
    <w:rsid w:val="00AB089C"/>
    <w:rsid w:val="00AB3D52"/>
    <w:rsid w:val="00AC3C72"/>
    <w:rsid w:val="00AC3FA0"/>
    <w:rsid w:val="00AC7520"/>
    <w:rsid w:val="00AD4049"/>
    <w:rsid w:val="00AE1BE2"/>
    <w:rsid w:val="00AE7A61"/>
    <w:rsid w:val="00AE7D92"/>
    <w:rsid w:val="00AF540B"/>
    <w:rsid w:val="00B02A73"/>
    <w:rsid w:val="00B07360"/>
    <w:rsid w:val="00B07C05"/>
    <w:rsid w:val="00B10DF4"/>
    <w:rsid w:val="00B11386"/>
    <w:rsid w:val="00B1398D"/>
    <w:rsid w:val="00B21FB7"/>
    <w:rsid w:val="00B22557"/>
    <w:rsid w:val="00B22CDC"/>
    <w:rsid w:val="00B2329C"/>
    <w:rsid w:val="00B25B65"/>
    <w:rsid w:val="00B26F15"/>
    <w:rsid w:val="00B33128"/>
    <w:rsid w:val="00B35D91"/>
    <w:rsid w:val="00B3718E"/>
    <w:rsid w:val="00B37E13"/>
    <w:rsid w:val="00B41954"/>
    <w:rsid w:val="00B41D95"/>
    <w:rsid w:val="00B46C72"/>
    <w:rsid w:val="00B47574"/>
    <w:rsid w:val="00B517E4"/>
    <w:rsid w:val="00B6180A"/>
    <w:rsid w:val="00B66022"/>
    <w:rsid w:val="00B70163"/>
    <w:rsid w:val="00B77593"/>
    <w:rsid w:val="00B777FB"/>
    <w:rsid w:val="00B8179B"/>
    <w:rsid w:val="00B83B24"/>
    <w:rsid w:val="00B9011D"/>
    <w:rsid w:val="00B9020E"/>
    <w:rsid w:val="00B903FB"/>
    <w:rsid w:val="00B90BD2"/>
    <w:rsid w:val="00BA0DC6"/>
    <w:rsid w:val="00BA30C3"/>
    <w:rsid w:val="00BA607F"/>
    <w:rsid w:val="00BB2C77"/>
    <w:rsid w:val="00BB515C"/>
    <w:rsid w:val="00BB667E"/>
    <w:rsid w:val="00BC3DDE"/>
    <w:rsid w:val="00BC5992"/>
    <w:rsid w:val="00BD5E4A"/>
    <w:rsid w:val="00BE5183"/>
    <w:rsid w:val="00BF1807"/>
    <w:rsid w:val="00BF1D0F"/>
    <w:rsid w:val="00BF24D5"/>
    <w:rsid w:val="00BF4E83"/>
    <w:rsid w:val="00C02192"/>
    <w:rsid w:val="00C03A21"/>
    <w:rsid w:val="00C0548C"/>
    <w:rsid w:val="00C0709F"/>
    <w:rsid w:val="00C1091A"/>
    <w:rsid w:val="00C10CE3"/>
    <w:rsid w:val="00C12D91"/>
    <w:rsid w:val="00C1554D"/>
    <w:rsid w:val="00C17F4A"/>
    <w:rsid w:val="00C27266"/>
    <w:rsid w:val="00C31395"/>
    <w:rsid w:val="00C31DD0"/>
    <w:rsid w:val="00C371E9"/>
    <w:rsid w:val="00C37446"/>
    <w:rsid w:val="00C414FD"/>
    <w:rsid w:val="00C42C4C"/>
    <w:rsid w:val="00C430C9"/>
    <w:rsid w:val="00C43AB6"/>
    <w:rsid w:val="00C51114"/>
    <w:rsid w:val="00C52558"/>
    <w:rsid w:val="00C61630"/>
    <w:rsid w:val="00C64858"/>
    <w:rsid w:val="00C778D2"/>
    <w:rsid w:val="00C77C72"/>
    <w:rsid w:val="00C81450"/>
    <w:rsid w:val="00C912D5"/>
    <w:rsid w:val="00CA39D7"/>
    <w:rsid w:val="00CB13BD"/>
    <w:rsid w:val="00CB34DB"/>
    <w:rsid w:val="00CB3696"/>
    <w:rsid w:val="00CB514F"/>
    <w:rsid w:val="00CC048B"/>
    <w:rsid w:val="00CC2951"/>
    <w:rsid w:val="00CC6001"/>
    <w:rsid w:val="00CD27EB"/>
    <w:rsid w:val="00CD3691"/>
    <w:rsid w:val="00CF76DD"/>
    <w:rsid w:val="00D00521"/>
    <w:rsid w:val="00D06B7E"/>
    <w:rsid w:val="00D1322F"/>
    <w:rsid w:val="00D173E3"/>
    <w:rsid w:val="00D17781"/>
    <w:rsid w:val="00D21BD3"/>
    <w:rsid w:val="00D220D2"/>
    <w:rsid w:val="00D22B57"/>
    <w:rsid w:val="00D22E98"/>
    <w:rsid w:val="00D30DE1"/>
    <w:rsid w:val="00D37420"/>
    <w:rsid w:val="00D405D2"/>
    <w:rsid w:val="00D44FCD"/>
    <w:rsid w:val="00D52BB7"/>
    <w:rsid w:val="00D541B5"/>
    <w:rsid w:val="00D55218"/>
    <w:rsid w:val="00D559C1"/>
    <w:rsid w:val="00D563EF"/>
    <w:rsid w:val="00D60FD7"/>
    <w:rsid w:val="00D61289"/>
    <w:rsid w:val="00D63A6D"/>
    <w:rsid w:val="00D71969"/>
    <w:rsid w:val="00D76506"/>
    <w:rsid w:val="00D8335D"/>
    <w:rsid w:val="00D90ABE"/>
    <w:rsid w:val="00D9332B"/>
    <w:rsid w:val="00D95A5F"/>
    <w:rsid w:val="00D968F8"/>
    <w:rsid w:val="00D971E6"/>
    <w:rsid w:val="00DA0E96"/>
    <w:rsid w:val="00DA761C"/>
    <w:rsid w:val="00DB091A"/>
    <w:rsid w:val="00DB151A"/>
    <w:rsid w:val="00DB1865"/>
    <w:rsid w:val="00DB25FF"/>
    <w:rsid w:val="00DD1531"/>
    <w:rsid w:val="00DD2B92"/>
    <w:rsid w:val="00DD2FA3"/>
    <w:rsid w:val="00DE3548"/>
    <w:rsid w:val="00DE3D25"/>
    <w:rsid w:val="00DE4366"/>
    <w:rsid w:val="00E01E40"/>
    <w:rsid w:val="00E02801"/>
    <w:rsid w:val="00E04491"/>
    <w:rsid w:val="00E05F83"/>
    <w:rsid w:val="00E1694A"/>
    <w:rsid w:val="00E16B00"/>
    <w:rsid w:val="00E21520"/>
    <w:rsid w:val="00E227EC"/>
    <w:rsid w:val="00E31732"/>
    <w:rsid w:val="00E34B79"/>
    <w:rsid w:val="00E40FB7"/>
    <w:rsid w:val="00E44D86"/>
    <w:rsid w:val="00E53422"/>
    <w:rsid w:val="00E57054"/>
    <w:rsid w:val="00E6026A"/>
    <w:rsid w:val="00E60554"/>
    <w:rsid w:val="00E61450"/>
    <w:rsid w:val="00E6674C"/>
    <w:rsid w:val="00E66FF3"/>
    <w:rsid w:val="00E91454"/>
    <w:rsid w:val="00EA3714"/>
    <w:rsid w:val="00EC6366"/>
    <w:rsid w:val="00EC6800"/>
    <w:rsid w:val="00ED05D4"/>
    <w:rsid w:val="00EE4915"/>
    <w:rsid w:val="00EF315C"/>
    <w:rsid w:val="00EF344B"/>
    <w:rsid w:val="00EF3A13"/>
    <w:rsid w:val="00EF7F5B"/>
    <w:rsid w:val="00F004BC"/>
    <w:rsid w:val="00F01CB2"/>
    <w:rsid w:val="00F01F30"/>
    <w:rsid w:val="00F05031"/>
    <w:rsid w:val="00F154E7"/>
    <w:rsid w:val="00F16C53"/>
    <w:rsid w:val="00F249EE"/>
    <w:rsid w:val="00F25F7A"/>
    <w:rsid w:val="00F260E4"/>
    <w:rsid w:val="00F271AA"/>
    <w:rsid w:val="00F336EC"/>
    <w:rsid w:val="00F3433D"/>
    <w:rsid w:val="00F41B3E"/>
    <w:rsid w:val="00F442CF"/>
    <w:rsid w:val="00F46BFD"/>
    <w:rsid w:val="00F647F9"/>
    <w:rsid w:val="00F648A8"/>
    <w:rsid w:val="00F73357"/>
    <w:rsid w:val="00F7345D"/>
    <w:rsid w:val="00F73732"/>
    <w:rsid w:val="00F764D9"/>
    <w:rsid w:val="00F76E48"/>
    <w:rsid w:val="00F85DFD"/>
    <w:rsid w:val="00F928E8"/>
    <w:rsid w:val="00FA67F9"/>
    <w:rsid w:val="00FB0FD5"/>
    <w:rsid w:val="00FB2158"/>
    <w:rsid w:val="00FB42BC"/>
    <w:rsid w:val="00FC761C"/>
    <w:rsid w:val="00FD184E"/>
    <w:rsid w:val="00FD322E"/>
    <w:rsid w:val="00FD4699"/>
    <w:rsid w:val="00FD58A2"/>
    <w:rsid w:val="00FE3B5C"/>
    <w:rsid w:val="00FE5C49"/>
    <w:rsid w:val="00FE651B"/>
    <w:rsid w:val="00FE7CCF"/>
    <w:rsid w:val="00FF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AC55"/>
  <w15:docId w15:val="{D26A3952-8CBC-4A76-81AC-6FC46FC0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6D"/>
    <w:pPr>
      <w:tabs>
        <w:tab w:val="left" w:pos="360"/>
      </w:tabs>
      <w:spacing w:after="0" w:line="240" w:lineRule="auto"/>
    </w:pPr>
    <w:rPr>
      <w:rFonts w:ascii="Arial" w:eastAsia="Times New Roman" w:hAnsi="Arial" w:cs="Arial"/>
    </w:rPr>
  </w:style>
  <w:style w:type="paragraph" w:styleId="Heading1">
    <w:name w:val="heading 1"/>
    <w:basedOn w:val="Normal"/>
    <w:next w:val="Normal"/>
    <w:link w:val="Heading1Char"/>
    <w:uiPriority w:val="9"/>
    <w:qFormat/>
    <w:rsid w:val="0084547F"/>
    <w:pPr>
      <w:spacing w:before="360" w:after="120" w:line="276" w:lineRule="auto"/>
      <w:outlineLvl w:val="0"/>
    </w:pPr>
    <w:rPr>
      <w:b/>
      <w:color w:val="342A4C" w:themeColor="text1"/>
      <w:sz w:val="28"/>
      <w:szCs w:val="28"/>
    </w:rPr>
  </w:style>
  <w:style w:type="paragraph" w:styleId="Heading2">
    <w:name w:val="heading 2"/>
    <w:basedOn w:val="Normal"/>
    <w:next w:val="Normal"/>
    <w:link w:val="Heading2Char"/>
    <w:uiPriority w:val="9"/>
    <w:unhideWhenUsed/>
    <w:qFormat/>
    <w:rsid w:val="0084547F"/>
    <w:pPr>
      <w:spacing w:before="240" w:after="120"/>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List"/>
    <w:basedOn w:val="Normal"/>
    <w:uiPriority w:val="34"/>
    <w:qFormat/>
    <w:rsid w:val="005C3BAF"/>
    <w:pPr>
      <w:numPr>
        <w:numId w:val="7"/>
      </w:numPr>
      <w:contextualSpacing/>
    </w:pPr>
  </w:style>
  <w:style w:type="paragraph" w:styleId="BalloonText">
    <w:name w:val="Balloon Text"/>
    <w:basedOn w:val="Normal"/>
    <w:link w:val="BalloonTextChar"/>
    <w:uiPriority w:val="99"/>
    <w:semiHidden/>
    <w:unhideWhenUsed/>
    <w:rsid w:val="00423BDC"/>
    <w:rPr>
      <w:rFonts w:ascii="Tahoma" w:hAnsi="Tahoma" w:cs="Tahoma"/>
      <w:sz w:val="16"/>
      <w:szCs w:val="16"/>
    </w:rPr>
  </w:style>
  <w:style w:type="character" w:customStyle="1" w:styleId="BalloonTextChar">
    <w:name w:val="Balloon Text Char"/>
    <w:basedOn w:val="DefaultParagraphFont"/>
    <w:link w:val="BalloonText"/>
    <w:uiPriority w:val="99"/>
    <w:semiHidden/>
    <w:rsid w:val="00423BDC"/>
    <w:rPr>
      <w:rFonts w:ascii="Tahoma" w:eastAsia="Times New Roman" w:hAnsi="Tahoma" w:cs="Tahoma"/>
      <w:sz w:val="16"/>
      <w:szCs w:val="16"/>
    </w:rPr>
  </w:style>
  <w:style w:type="paragraph" w:styleId="Header">
    <w:name w:val="header"/>
    <w:basedOn w:val="Normal"/>
    <w:link w:val="HeaderChar"/>
    <w:uiPriority w:val="99"/>
    <w:unhideWhenUsed/>
    <w:rsid w:val="00C17F4A"/>
    <w:pPr>
      <w:tabs>
        <w:tab w:val="clear" w:pos="360"/>
        <w:tab w:val="center" w:pos="4680"/>
        <w:tab w:val="right" w:pos="9360"/>
      </w:tabs>
    </w:pPr>
  </w:style>
  <w:style w:type="character" w:customStyle="1" w:styleId="HeaderChar">
    <w:name w:val="Header Char"/>
    <w:basedOn w:val="DefaultParagraphFont"/>
    <w:link w:val="Header"/>
    <w:uiPriority w:val="99"/>
    <w:rsid w:val="00C17F4A"/>
    <w:rPr>
      <w:rFonts w:ascii="Arial" w:eastAsia="Times New Roman" w:hAnsi="Arial" w:cs="Arial"/>
    </w:rPr>
  </w:style>
  <w:style w:type="paragraph" w:styleId="Footer">
    <w:name w:val="footer"/>
    <w:basedOn w:val="Normal"/>
    <w:link w:val="FooterChar"/>
    <w:uiPriority w:val="99"/>
    <w:unhideWhenUsed/>
    <w:rsid w:val="00C17F4A"/>
    <w:pPr>
      <w:tabs>
        <w:tab w:val="clear" w:pos="360"/>
        <w:tab w:val="right" w:pos="9360"/>
      </w:tabs>
      <w:jc w:val="right"/>
    </w:pPr>
    <w:rPr>
      <w:sz w:val="20"/>
      <w:szCs w:val="20"/>
    </w:rPr>
  </w:style>
  <w:style w:type="character" w:customStyle="1" w:styleId="FooterChar">
    <w:name w:val="Footer Char"/>
    <w:basedOn w:val="DefaultParagraphFont"/>
    <w:link w:val="Footer"/>
    <w:uiPriority w:val="99"/>
    <w:rsid w:val="00C17F4A"/>
    <w:rPr>
      <w:rFonts w:ascii="Arial" w:eastAsia="Times New Roman" w:hAnsi="Arial" w:cs="Arial"/>
      <w:sz w:val="20"/>
      <w:szCs w:val="20"/>
    </w:rPr>
  </w:style>
  <w:style w:type="table" w:styleId="TableGrid">
    <w:name w:val="Table Grid"/>
    <w:basedOn w:val="TableNormal"/>
    <w:uiPriority w:val="59"/>
    <w:rsid w:val="0064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9AF"/>
    <w:rPr>
      <w:sz w:val="16"/>
      <w:szCs w:val="16"/>
    </w:rPr>
  </w:style>
  <w:style w:type="paragraph" w:customStyle="1" w:styleId="Bulletlist">
    <w:name w:val="Bullet list"/>
    <w:basedOn w:val="ListParagraph"/>
    <w:qFormat/>
    <w:rsid w:val="00284FDC"/>
    <w:pPr>
      <w:numPr>
        <w:numId w:val="21"/>
      </w:numPr>
    </w:pPr>
  </w:style>
  <w:style w:type="paragraph" w:styleId="CommentSubject">
    <w:name w:val="annotation subject"/>
    <w:basedOn w:val="Normal"/>
    <w:next w:val="Normal"/>
    <w:link w:val="CommentSubjectChar"/>
    <w:uiPriority w:val="99"/>
    <w:semiHidden/>
    <w:unhideWhenUsed/>
    <w:rsid w:val="005C3BAF"/>
    <w:rPr>
      <w:b/>
      <w:bCs/>
    </w:rPr>
  </w:style>
  <w:style w:type="character" w:customStyle="1" w:styleId="CommentSubjectChar">
    <w:name w:val="Comment Subject Char"/>
    <w:basedOn w:val="DefaultParagraphFont"/>
    <w:link w:val="CommentSubject"/>
    <w:uiPriority w:val="99"/>
    <w:semiHidden/>
    <w:rsid w:val="005C3BAF"/>
    <w:rPr>
      <w:rFonts w:ascii="Times New Roman" w:eastAsia="Times New Roman" w:hAnsi="Times New Roman" w:cs="Times New Roman"/>
      <w:b/>
      <w:bCs/>
      <w:sz w:val="20"/>
      <w:szCs w:val="20"/>
    </w:rPr>
  </w:style>
  <w:style w:type="paragraph" w:styleId="Revision">
    <w:name w:val="Revision"/>
    <w:hidden/>
    <w:uiPriority w:val="99"/>
    <w:semiHidden/>
    <w:rsid w:val="000C2287"/>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4547F"/>
    <w:rPr>
      <w:rFonts w:ascii="Arial" w:eastAsia="Times New Roman" w:hAnsi="Arial" w:cs="Arial"/>
      <w:b/>
      <w:color w:val="342A4C" w:themeColor="text1"/>
      <w:sz w:val="28"/>
      <w:szCs w:val="28"/>
    </w:rPr>
  </w:style>
  <w:style w:type="character" w:customStyle="1" w:styleId="Heading2Char">
    <w:name w:val="Heading 2 Char"/>
    <w:basedOn w:val="DefaultParagraphFont"/>
    <w:link w:val="Heading2"/>
    <w:uiPriority w:val="9"/>
    <w:rsid w:val="0084547F"/>
    <w:rPr>
      <w:rFonts w:ascii="Arial" w:eastAsia="Times New Roman" w:hAnsi="Arial" w:cs="Arial"/>
      <w:sz w:val="24"/>
      <w:szCs w:val="20"/>
      <w:u w:val="single"/>
    </w:rPr>
  </w:style>
  <w:style w:type="paragraph" w:styleId="Title">
    <w:name w:val="Title"/>
    <w:aliases w:val="Cover Page Title"/>
    <w:basedOn w:val="Heading1"/>
    <w:next w:val="Normal"/>
    <w:link w:val="TitleChar"/>
    <w:uiPriority w:val="10"/>
    <w:qFormat/>
    <w:rsid w:val="00D63A6D"/>
    <w:pPr>
      <w:spacing w:before="3600"/>
      <w:jc w:val="center"/>
    </w:pPr>
    <w:rPr>
      <w:noProof/>
      <w:sz w:val="48"/>
      <w:szCs w:val="48"/>
    </w:rPr>
  </w:style>
  <w:style w:type="character" w:customStyle="1" w:styleId="TitleChar">
    <w:name w:val="Title Char"/>
    <w:aliases w:val="Cover Page Title Char"/>
    <w:basedOn w:val="DefaultParagraphFont"/>
    <w:link w:val="Title"/>
    <w:uiPriority w:val="10"/>
    <w:rsid w:val="00D63A6D"/>
    <w:rPr>
      <w:rFonts w:ascii="Arial" w:eastAsia="Times New Roman" w:hAnsi="Arial" w:cs="Arial"/>
      <w:b/>
      <w:noProof/>
      <w:color w:val="342A4C" w:themeColor="text1"/>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table" w:styleId="TableGridLight">
    <w:name w:val="Grid Table Light"/>
    <w:basedOn w:val="TableNormal"/>
    <w:uiPriority w:val="40"/>
    <w:rsid w:val="004D7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3877">
      <w:bodyDiv w:val="1"/>
      <w:marLeft w:val="0"/>
      <w:marRight w:val="0"/>
      <w:marTop w:val="0"/>
      <w:marBottom w:val="0"/>
      <w:divBdr>
        <w:top w:val="none" w:sz="0" w:space="0" w:color="auto"/>
        <w:left w:val="none" w:sz="0" w:space="0" w:color="auto"/>
        <w:bottom w:val="none" w:sz="0" w:space="0" w:color="auto"/>
        <w:right w:val="none" w:sz="0" w:space="0" w:color="auto"/>
      </w:divBdr>
    </w:div>
    <w:div w:id="1135634811">
      <w:bodyDiv w:val="1"/>
      <w:marLeft w:val="0"/>
      <w:marRight w:val="0"/>
      <w:marTop w:val="0"/>
      <w:marBottom w:val="0"/>
      <w:divBdr>
        <w:top w:val="none" w:sz="0" w:space="0" w:color="auto"/>
        <w:left w:val="none" w:sz="0" w:space="0" w:color="auto"/>
        <w:bottom w:val="none" w:sz="0" w:space="0" w:color="auto"/>
        <w:right w:val="none" w:sz="0" w:space="0" w:color="auto"/>
      </w:divBdr>
    </w:div>
    <w:div w:id="1552034119">
      <w:bodyDiv w:val="1"/>
      <w:marLeft w:val="0"/>
      <w:marRight w:val="0"/>
      <w:marTop w:val="0"/>
      <w:marBottom w:val="0"/>
      <w:divBdr>
        <w:top w:val="none" w:sz="0" w:space="0" w:color="auto"/>
        <w:left w:val="none" w:sz="0" w:space="0" w:color="auto"/>
        <w:bottom w:val="none" w:sz="0" w:space="0" w:color="auto"/>
        <w:right w:val="none" w:sz="0" w:space="0" w:color="auto"/>
      </w:divBdr>
    </w:div>
    <w:div w:id="1629165085">
      <w:bodyDiv w:val="1"/>
      <w:marLeft w:val="0"/>
      <w:marRight w:val="0"/>
      <w:marTop w:val="0"/>
      <w:marBottom w:val="0"/>
      <w:divBdr>
        <w:top w:val="none" w:sz="0" w:space="0" w:color="auto"/>
        <w:left w:val="none" w:sz="0" w:space="0" w:color="auto"/>
        <w:bottom w:val="none" w:sz="0" w:space="0" w:color="auto"/>
        <w:right w:val="none" w:sz="0" w:space="0" w:color="auto"/>
      </w:divBdr>
    </w:div>
    <w:div w:id="17560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RMA Corporate Palette 2023 - RGB">
      <a:dk1>
        <a:srgbClr val="342A4C"/>
      </a:dk1>
      <a:lt1>
        <a:srgbClr val="FFFFFF"/>
      </a:lt1>
      <a:dk2>
        <a:srgbClr val="29E6C5"/>
      </a:dk2>
      <a:lt2>
        <a:srgbClr val="F8F3E5"/>
      </a:lt2>
      <a:accent1>
        <a:srgbClr val="FC4640"/>
      </a:accent1>
      <a:accent2>
        <a:srgbClr val="FCCB49"/>
      </a:accent2>
      <a:accent3>
        <a:srgbClr val="873DCC"/>
      </a:accent3>
      <a:accent4>
        <a:srgbClr val="8E8D90"/>
      </a:accent4>
      <a:accent5>
        <a:srgbClr val="D9D9DA"/>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2B23-5AF7-4D5F-9B20-9650B05C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Peapack-Gladstone Bank</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J. Ragoza</dc:creator>
  <cp:lastModifiedBy>Frank Devlin</cp:lastModifiedBy>
  <cp:revision>2</cp:revision>
  <cp:lastPrinted>2023-01-24T17:02:00Z</cp:lastPrinted>
  <dcterms:created xsi:type="dcterms:W3CDTF">2024-03-18T19:15:00Z</dcterms:created>
  <dcterms:modified xsi:type="dcterms:W3CDTF">2024-03-18T19:15:00Z</dcterms:modified>
</cp:coreProperties>
</file>